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2EDA" w14:textId="795E24B4" w:rsidR="00337DCD" w:rsidRPr="000C4178" w:rsidRDefault="00337DCD" w:rsidP="00A5690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Appendix 13</w:t>
      </w:r>
    </w:p>
    <w:p w14:paraId="6996021D" w14:textId="3ADC1270" w:rsidR="00337DCD" w:rsidRPr="000C4178" w:rsidRDefault="00337DCD" w:rsidP="00337DCD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Hypothesis Testing of Students Speaking Skill by Using Oral Test</w:t>
      </w:r>
    </w:p>
    <w:p w14:paraId="0B74DEB0" w14:textId="1D8FAA6E" w:rsidR="00337DCD" w:rsidRPr="000C4178" w:rsidRDefault="00337DCD" w:rsidP="00337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A030C" w14:textId="77777777" w:rsidR="00337DCD" w:rsidRPr="00337DCD" w:rsidRDefault="00337DCD" w:rsidP="00337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7792" w:type="dxa"/>
        <w:tblLayout w:type="fixed"/>
        <w:tblLook w:val="0000" w:firstRow="0" w:lastRow="0" w:firstColumn="0" w:lastColumn="0" w:noHBand="0" w:noVBand="0"/>
      </w:tblPr>
      <w:tblGrid>
        <w:gridCol w:w="1092"/>
        <w:gridCol w:w="1630"/>
        <w:gridCol w:w="1029"/>
        <w:gridCol w:w="1245"/>
        <w:gridCol w:w="2796"/>
      </w:tblGrid>
      <w:tr w:rsidR="000C4178" w:rsidRPr="00337DCD" w14:paraId="51428F8B" w14:textId="77777777" w:rsidTr="000C4178">
        <w:tc>
          <w:tcPr>
            <w:tcW w:w="7792" w:type="dxa"/>
            <w:gridSpan w:val="5"/>
          </w:tcPr>
          <w:p w14:paraId="15E01998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37DCD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C4178" w:rsidRPr="00337DCD" w14:paraId="476A6B21" w14:textId="77777777" w:rsidTr="000C4178">
        <w:tc>
          <w:tcPr>
            <w:tcW w:w="2722" w:type="dxa"/>
            <w:gridSpan w:val="2"/>
          </w:tcPr>
          <w:p w14:paraId="0189B199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A6EF5DA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5" w:type="dxa"/>
          </w:tcPr>
          <w:p w14:paraId="2DDA79AC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2796" w:type="dxa"/>
          </w:tcPr>
          <w:p w14:paraId="317A99C8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C4178" w:rsidRPr="00337DCD" w14:paraId="670826D2" w14:textId="77777777" w:rsidTr="000C4178">
        <w:tc>
          <w:tcPr>
            <w:tcW w:w="1092" w:type="dxa"/>
            <w:vMerge w:val="restart"/>
          </w:tcPr>
          <w:p w14:paraId="589CAE89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post - pre</w:t>
            </w:r>
          </w:p>
        </w:tc>
        <w:tc>
          <w:tcPr>
            <w:tcW w:w="1630" w:type="dxa"/>
          </w:tcPr>
          <w:p w14:paraId="0DE0A254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Negative Ranks</w:t>
            </w:r>
          </w:p>
        </w:tc>
        <w:tc>
          <w:tcPr>
            <w:tcW w:w="1029" w:type="dxa"/>
          </w:tcPr>
          <w:p w14:paraId="7DC01AD9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45" w:type="dxa"/>
          </w:tcPr>
          <w:p w14:paraId="4DD2E8B9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18.50</w:t>
            </w:r>
          </w:p>
        </w:tc>
        <w:tc>
          <w:tcPr>
            <w:tcW w:w="2796" w:type="dxa"/>
          </w:tcPr>
          <w:p w14:paraId="2F36DEA5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129.50</w:t>
            </w:r>
          </w:p>
        </w:tc>
      </w:tr>
      <w:tr w:rsidR="000C4178" w:rsidRPr="00337DCD" w14:paraId="2BF945B3" w14:textId="77777777" w:rsidTr="000C4178">
        <w:tc>
          <w:tcPr>
            <w:tcW w:w="1092" w:type="dxa"/>
            <w:vMerge/>
          </w:tcPr>
          <w:p w14:paraId="3EC6400C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0" w:type="dxa"/>
          </w:tcPr>
          <w:p w14:paraId="5693EC91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Positive Ranks</w:t>
            </w:r>
          </w:p>
        </w:tc>
        <w:tc>
          <w:tcPr>
            <w:tcW w:w="1029" w:type="dxa"/>
          </w:tcPr>
          <w:p w14:paraId="03E75936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45" w:type="dxa"/>
          </w:tcPr>
          <w:p w14:paraId="5D561A9F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12.43</w:t>
            </w:r>
          </w:p>
        </w:tc>
        <w:tc>
          <w:tcPr>
            <w:tcW w:w="2796" w:type="dxa"/>
          </w:tcPr>
          <w:p w14:paraId="4B4833D5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248.50</w:t>
            </w:r>
          </w:p>
        </w:tc>
      </w:tr>
      <w:tr w:rsidR="000C4178" w:rsidRPr="00337DCD" w14:paraId="6A23AC59" w14:textId="77777777" w:rsidTr="000C4178">
        <w:tc>
          <w:tcPr>
            <w:tcW w:w="1092" w:type="dxa"/>
            <w:vMerge/>
          </w:tcPr>
          <w:p w14:paraId="14F3BD45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30" w:type="dxa"/>
          </w:tcPr>
          <w:p w14:paraId="65B0C05A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Ties</w:t>
            </w:r>
          </w:p>
        </w:tc>
        <w:tc>
          <w:tcPr>
            <w:tcW w:w="1029" w:type="dxa"/>
          </w:tcPr>
          <w:p w14:paraId="48D0370E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45" w:type="dxa"/>
          </w:tcPr>
          <w:p w14:paraId="76DCDF50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126FE7FE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178" w:rsidRPr="00337DCD" w14:paraId="71BF6441" w14:textId="77777777" w:rsidTr="000C4178">
        <w:tc>
          <w:tcPr>
            <w:tcW w:w="1092" w:type="dxa"/>
            <w:vMerge/>
          </w:tcPr>
          <w:p w14:paraId="7597D18F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C4F451F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29" w:type="dxa"/>
          </w:tcPr>
          <w:p w14:paraId="681B9EEF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45" w:type="dxa"/>
          </w:tcPr>
          <w:p w14:paraId="06AD2D84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CB7C9A4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4178" w:rsidRPr="00337DCD" w14:paraId="077734A1" w14:textId="77777777" w:rsidTr="000C4178">
        <w:tc>
          <w:tcPr>
            <w:tcW w:w="7792" w:type="dxa"/>
            <w:gridSpan w:val="5"/>
          </w:tcPr>
          <w:p w14:paraId="5675FCFC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a. post &lt; pre</w:t>
            </w:r>
          </w:p>
        </w:tc>
      </w:tr>
      <w:tr w:rsidR="000C4178" w:rsidRPr="00337DCD" w14:paraId="19112E35" w14:textId="77777777" w:rsidTr="000C4178">
        <w:tc>
          <w:tcPr>
            <w:tcW w:w="7792" w:type="dxa"/>
            <w:gridSpan w:val="5"/>
          </w:tcPr>
          <w:p w14:paraId="032AB93E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b. post &gt; pre</w:t>
            </w:r>
          </w:p>
        </w:tc>
      </w:tr>
      <w:tr w:rsidR="000C4178" w:rsidRPr="00337DCD" w14:paraId="326235E0" w14:textId="77777777" w:rsidTr="000C4178">
        <w:tc>
          <w:tcPr>
            <w:tcW w:w="7792" w:type="dxa"/>
            <w:gridSpan w:val="5"/>
          </w:tcPr>
          <w:p w14:paraId="432660F3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c. post = pre</w:t>
            </w:r>
          </w:p>
        </w:tc>
      </w:tr>
    </w:tbl>
    <w:p w14:paraId="7CB9A5EB" w14:textId="676BDE13" w:rsidR="00337DCD" w:rsidRPr="000C4178" w:rsidRDefault="00337DCD" w:rsidP="00337D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652D8" w14:textId="77777777" w:rsidR="00337DCD" w:rsidRPr="00337DCD" w:rsidRDefault="00337DCD" w:rsidP="00337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7366" w:type="dxa"/>
        <w:tblLayout w:type="fixed"/>
        <w:tblLook w:val="0000" w:firstRow="0" w:lastRow="0" w:firstColumn="0" w:lastColumn="0" w:noHBand="0" w:noVBand="0"/>
      </w:tblPr>
      <w:tblGrid>
        <w:gridCol w:w="2830"/>
        <w:gridCol w:w="4536"/>
      </w:tblGrid>
      <w:tr w:rsidR="000C4178" w:rsidRPr="00337DCD" w14:paraId="6FE08DD2" w14:textId="77777777" w:rsidTr="000C4178">
        <w:tc>
          <w:tcPr>
            <w:tcW w:w="7366" w:type="dxa"/>
            <w:gridSpan w:val="2"/>
          </w:tcPr>
          <w:p w14:paraId="1334E923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337DCD">
              <w:rPr>
                <w:rFonts w:ascii="Arial" w:hAnsi="Arial" w:cs="Arial"/>
                <w:b/>
                <w:bCs/>
                <w:color w:val="000000" w:themeColor="text1"/>
              </w:rPr>
              <w:t xml:space="preserve">Test </w:t>
            </w:r>
            <w:proofErr w:type="spellStart"/>
            <w:r w:rsidRPr="00337DCD">
              <w:rPr>
                <w:rFonts w:ascii="Arial" w:hAnsi="Arial" w:cs="Arial"/>
                <w:b/>
                <w:bCs/>
                <w:color w:val="000000" w:themeColor="text1"/>
              </w:rPr>
              <w:t>Statistics</w:t>
            </w:r>
            <w:r w:rsidRPr="00337DCD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  <w:proofErr w:type="spellEnd"/>
          </w:p>
        </w:tc>
      </w:tr>
      <w:tr w:rsidR="000C4178" w:rsidRPr="00337DCD" w14:paraId="48D12E15" w14:textId="77777777" w:rsidTr="000C4178">
        <w:tc>
          <w:tcPr>
            <w:tcW w:w="2830" w:type="dxa"/>
          </w:tcPr>
          <w:p w14:paraId="14ADB4A4" w14:textId="77777777" w:rsidR="00337DCD" w:rsidRPr="00337DCD" w:rsidRDefault="00337DCD" w:rsidP="00337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F7BB16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post - pre</w:t>
            </w:r>
          </w:p>
        </w:tc>
      </w:tr>
      <w:tr w:rsidR="000C4178" w:rsidRPr="00337DCD" w14:paraId="198DA018" w14:textId="77777777" w:rsidTr="000C4178">
        <w:tc>
          <w:tcPr>
            <w:tcW w:w="2830" w:type="dxa"/>
          </w:tcPr>
          <w:p w14:paraId="1BE1B578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4536" w:type="dxa"/>
          </w:tcPr>
          <w:p w14:paraId="3CFB8E44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-1.452</w:t>
            </w: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  <w:tr w:rsidR="000C4178" w:rsidRPr="00337DCD" w14:paraId="3E251519" w14:textId="77777777" w:rsidTr="000C4178">
        <w:tc>
          <w:tcPr>
            <w:tcW w:w="2830" w:type="dxa"/>
          </w:tcPr>
          <w:p w14:paraId="694386F1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</w:t>
            </w:r>
            <w:proofErr w:type="spellEnd"/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. Sig. (2-tailed)</w:t>
            </w:r>
          </w:p>
        </w:tc>
        <w:tc>
          <w:tcPr>
            <w:tcW w:w="4536" w:type="dxa"/>
          </w:tcPr>
          <w:p w14:paraId="5E9CBDAA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.146</w:t>
            </w:r>
          </w:p>
        </w:tc>
      </w:tr>
      <w:tr w:rsidR="000C4178" w:rsidRPr="00337DCD" w14:paraId="3E741840" w14:textId="77777777" w:rsidTr="000C4178">
        <w:tc>
          <w:tcPr>
            <w:tcW w:w="7366" w:type="dxa"/>
            <w:gridSpan w:val="2"/>
          </w:tcPr>
          <w:p w14:paraId="2FA740F7" w14:textId="77777777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a. Wilcoxon Signed Ranks Test</w:t>
            </w:r>
          </w:p>
        </w:tc>
      </w:tr>
      <w:tr w:rsidR="000C4178" w:rsidRPr="00337DCD" w14:paraId="6D3B3044" w14:textId="77777777" w:rsidTr="000C4178">
        <w:tc>
          <w:tcPr>
            <w:tcW w:w="7366" w:type="dxa"/>
            <w:gridSpan w:val="2"/>
          </w:tcPr>
          <w:p w14:paraId="26686C16" w14:textId="77777777" w:rsidR="00337DCD" w:rsidRPr="000C4178" w:rsidRDefault="00337DCD" w:rsidP="00337D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37DCD">
              <w:rPr>
                <w:rFonts w:ascii="Arial" w:hAnsi="Arial" w:cs="Arial"/>
                <w:color w:val="000000" w:themeColor="text1"/>
                <w:sz w:val="18"/>
                <w:szCs w:val="18"/>
              </w:rPr>
              <w:t>b. Based on negative ranks.</w:t>
            </w:r>
          </w:p>
          <w:p w14:paraId="06D324E6" w14:textId="45C3D595" w:rsidR="00337DCD" w:rsidRPr="00337DCD" w:rsidRDefault="00337DCD" w:rsidP="00337DC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2B7A10F" w14:textId="77777777" w:rsidR="00337DCD" w:rsidRPr="00337DCD" w:rsidRDefault="00337DCD" w:rsidP="00337D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EF9ACA" w14:textId="77777777" w:rsidR="00337DCD" w:rsidRPr="000C4178" w:rsidRDefault="00337DCD" w:rsidP="00337DCD">
      <w:pPr>
        <w:spacing w:after="0" w:line="360" w:lineRule="auto"/>
        <w:rPr>
          <w:rFonts w:ascii="Times New Roman" w:eastAsia="Times New Roman" w:hAnsi="Symbol" w:cs="Times New Roman"/>
          <w:b/>
          <w:bCs/>
          <w:color w:val="000000" w:themeColor="text1"/>
          <w:sz w:val="24"/>
          <w:szCs w:val="24"/>
          <w:lang w:eastAsia="en-ID"/>
        </w:rPr>
      </w:pPr>
      <w:r w:rsidRPr="000C4178">
        <w:rPr>
          <w:rFonts w:ascii="Times New Roman" w:eastAsia="Times New Roman" w:hAnsi="Symbol" w:cs="Times New Roman"/>
          <w:b/>
          <w:bCs/>
          <w:color w:val="000000" w:themeColor="text1"/>
          <w:sz w:val="24"/>
          <w:szCs w:val="24"/>
          <w:lang w:eastAsia="en-ID"/>
        </w:rPr>
        <w:t>Description:</w:t>
      </w:r>
    </w:p>
    <w:p w14:paraId="30337B96" w14:textId="5DD07BCC" w:rsidR="00337DCD" w:rsidRPr="00337DCD" w:rsidRDefault="00337DCD" w:rsidP="00337D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33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Since the p-value of 0.146 is greater than the typical significance level of 0.05, we fail to reject the null hypothesis.</w:t>
      </w:r>
      <w:r w:rsidRPr="000C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This means there is not enough evidence to conclude that there is a significant difference in the median of </w:t>
      </w:r>
      <w:bookmarkStart w:id="0" w:name="_GoBack"/>
      <w:bookmarkEnd w:id="0"/>
      <w:r w:rsidRPr="000C4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the paired samples.</w:t>
      </w:r>
    </w:p>
    <w:p w14:paraId="6DB85749" w14:textId="77777777" w:rsidR="003F55A2" w:rsidRPr="000C4178" w:rsidRDefault="003F55A2" w:rsidP="00337DCD">
      <w:pPr>
        <w:spacing w:line="360" w:lineRule="auto"/>
        <w:rPr>
          <w:color w:val="000000" w:themeColor="text1"/>
        </w:rPr>
      </w:pPr>
    </w:p>
    <w:sectPr w:rsidR="003F55A2" w:rsidRPr="000C4178" w:rsidSect="00337DCD">
      <w:pgSz w:w="12242" w:h="15842"/>
      <w:pgMar w:top="2268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CD"/>
    <w:rsid w:val="000C4178"/>
    <w:rsid w:val="00337DCD"/>
    <w:rsid w:val="003F55A2"/>
    <w:rsid w:val="00A56904"/>
    <w:rsid w:val="00A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DA6"/>
  <w15:chartTrackingRefBased/>
  <w15:docId w15:val="{D2C5C3C0-E6D2-4FAD-9B4B-4A72F0C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2024-06-27T16:38:00Z</dcterms:created>
  <dcterms:modified xsi:type="dcterms:W3CDTF">2024-06-27T18:08:00Z</dcterms:modified>
</cp:coreProperties>
</file>