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E9875" w14:textId="451B5783" w:rsidR="00A967B1" w:rsidRDefault="00A967B1">
      <w:pPr>
        <w:pStyle w:val="Title"/>
      </w:pPr>
      <w:r>
        <w:t>CRITICAL PEDAGOGY PRINCIPLES IN EFL CLASSROOMS: INDONESIAN TEACHERS’ BELIEFS AND PRACTICES</w:t>
      </w:r>
    </w:p>
    <w:p w14:paraId="2A9F3BF0" w14:textId="77777777" w:rsidR="0009345F" w:rsidRDefault="0009345F">
      <w:pPr>
        <w:spacing w:before="273"/>
        <w:ind w:left="64" w:right="80"/>
        <w:jc w:val="center"/>
        <w:rPr>
          <w:b/>
          <w:sz w:val="24"/>
        </w:rPr>
      </w:pPr>
      <w:r>
        <w:rPr>
          <w:b/>
          <w:sz w:val="24"/>
        </w:rPr>
        <w:t>Slamet Wahyudi Yulianto</w:t>
      </w:r>
    </w:p>
    <w:p w14:paraId="560443AC" w14:textId="77777777" w:rsidR="0009345F" w:rsidRDefault="0009345F" w:rsidP="0009345F">
      <w:pPr>
        <w:ind w:left="58" w:right="86"/>
        <w:jc w:val="center"/>
        <w:rPr>
          <w:i/>
        </w:rPr>
      </w:pPr>
      <w:r>
        <w:rPr>
          <w:i/>
        </w:rPr>
        <w:t>English Education Study Program, Faculty of Language and Literature Education,</w:t>
      </w:r>
    </w:p>
    <w:p w14:paraId="5BC3E0AE" w14:textId="69D608E1" w:rsidR="004025AD" w:rsidRDefault="0009345F" w:rsidP="0009345F">
      <w:pPr>
        <w:ind w:left="58" w:right="86"/>
        <w:jc w:val="center"/>
        <w:rPr>
          <w:i/>
        </w:rPr>
      </w:pPr>
      <w:r>
        <w:rPr>
          <w:i/>
        </w:rPr>
        <w:t>Universitas Pendidikan Indonesia</w:t>
      </w:r>
    </w:p>
    <w:p w14:paraId="048F47BC" w14:textId="32D05356" w:rsidR="004025AD" w:rsidRDefault="0009345F">
      <w:pPr>
        <w:ind w:left="1362" w:right="1376"/>
        <w:jc w:val="center"/>
      </w:pPr>
      <w:r>
        <w:t xml:space="preserve">E-mail: </w:t>
      </w:r>
      <w:hyperlink r:id="rId7" w:history="1">
        <w:r w:rsidRPr="00FA662C">
          <w:rPr>
            <w:rStyle w:val="Hyperlink"/>
          </w:rPr>
          <w:t>slamet.wahyudi.y@gmail.com</w:t>
        </w:r>
      </w:hyperlink>
    </w:p>
    <w:p w14:paraId="6D29D5CA" w14:textId="2AA0AA68" w:rsidR="0009345F" w:rsidRDefault="0009345F">
      <w:pPr>
        <w:ind w:left="1362" w:right="1376"/>
        <w:jc w:val="center"/>
      </w:pPr>
    </w:p>
    <w:p w14:paraId="196F2A03" w14:textId="6BCFC520" w:rsidR="00D94734" w:rsidRDefault="00D94734" w:rsidP="00D94734">
      <w:pPr>
        <w:spacing w:before="273"/>
        <w:ind w:left="64" w:right="80"/>
        <w:jc w:val="center"/>
        <w:rPr>
          <w:b/>
          <w:sz w:val="24"/>
        </w:rPr>
      </w:pPr>
      <w:r>
        <w:rPr>
          <w:b/>
          <w:sz w:val="24"/>
        </w:rPr>
        <w:t>Gin Gin Gustine</w:t>
      </w:r>
    </w:p>
    <w:p w14:paraId="58AB61D2" w14:textId="77777777" w:rsidR="00D94734" w:rsidRDefault="00D94734" w:rsidP="00D94734">
      <w:pPr>
        <w:ind w:left="58" w:right="86"/>
        <w:jc w:val="center"/>
        <w:rPr>
          <w:i/>
        </w:rPr>
      </w:pPr>
      <w:r>
        <w:rPr>
          <w:i/>
        </w:rPr>
        <w:t>English Education Study Program, Faculty of Language and Literature Education,</w:t>
      </w:r>
    </w:p>
    <w:p w14:paraId="41D49FFD" w14:textId="77777777" w:rsidR="00D94734" w:rsidRDefault="00D94734" w:rsidP="00D94734">
      <w:pPr>
        <w:ind w:left="58" w:right="86"/>
        <w:jc w:val="center"/>
        <w:rPr>
          <w:i/>
        </w:rPr>
      </w:pPr>
      <w:r>
        <w:rPr>
          <w:i/>
        </w:rPr>
        <w:t>Universitas Pendidikan Indonesia</w:t>
      </w:r>
    </w:p>
    <w:p w14:paraId="150A7991" w14:textId="5B004DB6" w:rsidR="00D94734" w:rsidRDefault="00D94734" w:rsidP="00D94734">
      <w:pPr>
        <w:ind w:left="1362" w:right="1376"/>
        <w:jc w:val="center"/>
      </w:pPr>
      <w:r>
        <w:t xml:space="preserve">E-mail: </w:t>
      </w:r>
      <w:hyperlink r:id="rId8" w:history="1">
        <w:r w:rsidR="009911FD" w:rsidRPr="00FA662C">
          <w:rPr>
            <w:rStyle w:val="Hyperlink"/>
          </w:rPr>
          <w:t>gustine@upi.edu</w:t>
        </w:r>
      </w:hyperlink>
    </w:p>
    <w:p w14:paraId="4DE65C2F" w14:textId="547D68DF" w:rsidR="00D94734" w:rsidRDefault="009911FD" w:rsidP="00D94734">
      <w:pPr>
        <w:spacing w:before="273"/>
        <w:ind w:left="64" w:right="80"/>
        <w:jc w:val="center"/>
        <w:rPr>
          <w:b/>
          <w:sz w:val="24"/>
        </w:rPr>
      </w:pPr>
      <w:r>
        <w:rPr>
          <w:b/>
          <w:sz w:val="24"/>
        </w:rPr>
        <w:t>Bachrudin Musthafa</w:t>
      </w:r>
    </w:p>
    <w:p w14:paraId="196B4CDF" w14:textId="77777777" w:rsidR="00D94734" w:rsidRDefault="00D94734" w:rsidP="00D94734">
      <w:pPr>
        <w:ind w:left="58" w:right="86"/>
        <w:jc w:val="center"/>
        <w:rPr>
          <w:i/>
        </w:rPr>
      </w:pPr>
      <w:r>
        <w:rPr>
          <w:i/>
        </w:rPr>
        <w:t>English Education Study Program, Faculty of Language and Literature Education,</w:t>
      </w:r>
    </w:p>
    <w:p w14:paraId="4470B9AA" w14:textId="77777777" w:rsidR="00D94734" w:rsidRDefault="00D94734" w:rsidP="00D94734">
      <w:pPr>
        <w:ind w:left="58" w:right="86"/>
        <w:jc w:val="center"/>
        <w:rPr>
          <w:i/>
        </w:rPr>
      </w:pPr>
      <w:r>
        <w:rPr>
          <w:i/>
        </w:rPr>
        <w:t>Universitas Pendidikan Indonesia</w:t>
      </w:r>
    </w:p>
    <w:p w14:paraId="338F8081" w14:textId="7ECC243D" w:rsidR="00D94734" w:rsidRDefault="00D94734" w:rsidP="00D94734">
      <w:pPr>
        <w:ind w:left="1362" w:right="1376"/>
        <w:jc w:val="center"/>
      </w:pPr>
      <w:r>
        <w:t xml:space="preserve">E-mail: </w:t>
      </w:r>
      <w:hyperlink r:id="rId9" w:history="1">
        <w:r w:rsidR="009911FD" w:rsidRPr="00FA662C">
          <w:rPr>
            <w:rStyle w:val="Hyperlink"/>
          </w:rPr>
          <w:t>dinmusthafa@upi.edu</w:t>
        </w:r>
      </w:hyperlink>
      <w:r w:rsidR="009911FD">
        <w:t xml:space="preserve"> </w:t>
      </w:r>
    </w:p>
    <w:p w14:paraId="70B63092" w14:textId="77777777" w:rsidR="0009345F" w:rsidRDefault="0009345F">
      <w:pPr>
        <w:ind w:left="1362" w:right="1376"/>
        <w:jc w:val="center"/>
      </w:pPr>
    </w:p>
    <w:p w14:paraId="07BFA695" w14:textId="77777777" w:rsidR="004025AD" w:rsidRDefault="004025AD">
      <w:pPr>
        <w:pStyle w:val="BodyText"/>
        <w:spacing w:before="4"/>
        <w:rPr>
          <w:sz w:val="20"/>
        </w:rPr>
      </w:pPr>
    </w:p>
    <w:p w14:paraId="5E6646D8" w14:textId="70BF18E5" w:rsidR="004025AD" w:rsidRDefault="003D4C67">
      <w:pPr>
        <w:spacing w:line="237" w:lineRule="auto"/>
        <w:ind w:left="1992" w:hanging="1893"/>
      </w:pPr>
      <w:r>
        <w:t>APA</w:t>
      </w:r>
      <w:r>
        <w:rPr>
          <w:spacing w:val="27"/>
        </w:rPr>
        <w:t xml:space="preserve"> </w:t>
      </w:r>
      <w:r>
        <w:t>Citation:</w:t>
      </w:r>
      <w:r>
        <w:rPr>
          <w:spacing w:val="30"/>
        </w:rPr>
        <w:t xml:space="preserve"> </w:t>
      </w:r>
      <w:r w:rsidR="00A967B1">
        <w:t>..</w:t>
      </w:r>
    </w:p>
    <w:p w14:paraId="14B8A676" w14:textId="77777777" w:rsidR="004025AD" w:rsidRDefault="004025AD">
      <w:pPr>
        <w:pStyle w:val="BodyText"/>
        <w:spacing w:before="2"/>
        <w:rPr>
          <w:sz w:val="22"/>
        </w:rPr>
      </w:pPr>
    </w:p>
    <w:p w14:paraId="0AD6B61E" w14:textId="37D3B5A3" w:rsidR="004025AD" w:rsidRDefault="00AC4943">
      <w:pPr>
        <w:tabs>
          <w:tab w:val="left" w:pos="3601"/>
          <w:tab w:val="left" w:pos="6953"/>
        </w:tabs>
        <w:ind w:right="80"/>
        <w:jc w:val="center"/>
      </w:pPr>
      <w:r>
        <w:pict w14:anchorId="5894D84B">
          <v:shapetype id="_x0000_t202" coordsize="21600,21600" o:spt="202" path="m,l,21600r21600,l21600,xe">
            <v:stroke joinstyle="miter"/>
            <v:path gradientshapeok="t" o:connecttype="rect"/>
          </v:shapetype>
          <v:shape id="_x0000_s1122" type="#_x0000_t202" style="position:absolute;left:0;text-align:left;margin-left:1in;margin-top:18.95pt;width:446.25pt;height:161.25pt;z-index:-251658752;mso-wrap-distance-left:0;mso-wrap-distance-right:0;mso-position-horizontal-relative:page" filled="f">
            <v:textbox inset="0,0,0,0">
              <w:txbxContent>
                <w:p w14:paraId="2B11E645" w14:textId="4FA9924B" w:rsidR="00F4131E" w:rsidRPr="00B144B0" w:rsidRDefault="003D4C67" w:rsidP="00F4131E">
                  <w:pPr>
                    <w:pStyle w:val="StyleABSTRAKenCambria"/>
                    <w:rPr>
                      <w:rFonts w:ascii="Times New Roman" w:hAnsi="Times New Roman"/>
                      <w:sz w:val="20"/>
                      <w:szCs w:val="24"/>
                    </w:rPr>
                  </w:pPr>
                  <w:r>
                    <w:rPr>
                      <w:b/>
                      <w:sz w:val="20"/>
                    </w:rPr>
                    <w:t xml:space="preserve">Abstract: </w:t>
                  </w:r>
                  <w:r w:rsidR="00F4131E" w:rsidRPr="00B144B0">
                    <w:rPr>
                      <w:rFonts w:ascii="Times New Roman" w:hAnsi="Times New Roman"/>
                      <w:sz w:val="20"/>
                      <w:szCs w:val="24"/>
                    </w:rPr>
                    <w:t xml:space="preserve">The incorporation of critical pedagogy (CP) principles in the teaching of English as a foreign language (TEFL) in Indonesia has been promoted since the last two decades. However, research on how Indonesian EFL teachers view the CP principles are rarely conducted. This case study aims to discover the perceptions of 30 Indonesian EFL teachers teaching in different levels of </w:t>
                  </w:r>
                  <w:r w:rsidR="00F4131E">
                    <w:rPr>
                      <w:rFonts w:ascii="Times New Roman" w:hAnsi="Times New Roman"/>
                      <w:sz w:val="20"/>
                      <w:szCs w:val="24"/>
                    </w:rPr>
                    <w:t>education</w:t>
                  </w:r>
                  <w:r w:rsidR="00F4131E" w:rsidRPr="00B144B0">
                    <w:rPr>
                      <w:rFonts w:ascii="Times New Roman" w:hAnsi="Times New Roman"/>
                      <w:sz w:val="20"/>
                      <w:szCs w:val="24"/>
                    </w:rPr>
                    <w:t xml:space="preserve"> and having various educational backgrounds </w:t>
                  </w:r>
                  <w:r w:rsidR="00F4131E">
                    <w:rPr>
                      <w:rFonts w:ascii="Times New Roman" w:hAnsi="Times New Roman"/>
                      <w:sz w:val="20"/>
                      <w:szCs w:val="24"/>
                    </w:rPr>
                    <w:t xml:space="preserve">and diverse degree of familiarity </w:t>
                  </w:r>
                  <w:r w:rsidR="00F4131E" w:rsidRPr="00B144B0">
                    <w:rPr>
                      <w:rFonts w:ascii="Times New Roman" w:hAnsi="Times New Roman"/>
                      <w:sz w:val="20"/>
                      <w:szCs w:val="24"/>
                    </w:rPr>
                    <w:t>regarding the four CP principles. The data for this study were collected by distributing questionnaires and conducting interviews. The collected data were analyzed using descriptive analysis and by transcribing, tabulating, coding, categorizing, interpreting, comparing, and concluding. It is evident from the participants’ viewpoints, among the four principles, dialogue and problem-posing are the two most desirable as well as applicable ones. Additionally, in practicing the four principles, the participants claimed that they performed twelve categories of classroom activities. Considering the findings of this study, more training and research on critical EFL pedagogy are recommended.</w:t>
                  </w:r>
                </w:p>
                <w:p w14:paraId="506EBA89" w14:textId="0DC9DCAD" w:rsidR="00F4131E" w:rsidRPr="00B144B0" w:rsidRDefault="003D4C67" w:rsidP="00F4131E">
                  <w:pPr>
                    <w:pStyle w:val="Keyword"/>
                    <w:rPr>
                      <w:rFonts w:ascii="Times New Roman" w:hAnsi="Times New Roman"/>
                    </w:rPr>
                  </w:pPr>
                  <w:r>
                    <w:rPr>
                      <w:b/>
                    </w:rPr>
                    <w:t xml:space="preserve">Keywords: </w:t>
                  </w:r>
                  <w:r w:rsidR="00F4131E" w:rsidRPr="00F4131E">
                    <w:rPr>
                      <w:rFonts w:ascii="Times New Roman" w:hAnsi="Times New Roman"/>
                      <w:i/>
                      <w:iCs/>
                    </w:rPr>
                    <w:t>Critical pedagogy princip</w:t>
                  </w:r>
                  <w:r w:rsidR="004413EC">
                    <w:rPr>
                      <w:rFonts w:ascii="Times New Roman" w:hAnsi="Times New Roman"/>
                      <w:i/>
                      <w:iCs/>
                    </w:rPr>
                    <w:t>le</w:t>
                  </w:r>
                  <w:r w:rsidR="00F4131E" w:rsidRPr="00F4131E">
                    <w:rPr>
                      <w:rFonts w:ascii="Times New Roman" w:hAnsi="Times New Roman"/>
                      <w:i/>
                      <w:iCs/>
                    </w:rPr>
                    <w:t>s; EFL teachers; beliefs; practices</w:t>
                  </w:r>
                </w:p>
                <w:p w14:paraId="544F535A" w14:textId="42F6F34F" w:rsidR="004025AD" w:rsidRDefault="004025AD">
                  <w:pPr>
                    <w:ind w:left="1164" w:right="176" w:hanging="990"/>
                    <w:jc w:val="both"/>
                    <w:rPr>
                      <w:sz w:val="20"/>
                    </w:rPr>
                  </w:pPr>
                </w:p>
              </w:txbxContent>
            </v:textbox>
            <w10:wrap type="topAndBottom" anchorx="page"/>
          </v:shape>
        </w:pict>
      </w:r>
      <w:r w:rsidR="003D4C67">
        <w:t>Received:</w:t>
      </w:r>
      <w:r w:rsidR="003D4C67">
        <w:rPr>
          <w:spacing w:val="-4"/>
        </w:rPr>
        <w:t xml:space="preserve"> </w:t>
      </w:r>
      <w:r w:rsidR="00A967B1">
        <w:t>..</w:t>
      </w:r>
      <w:r w:rsidR="003D4C67">
        <w:tab/>
        <w:t>Accepted:</w:t>
      </w:r>
      <w:r w:rsidR="003D4C67">
        <w:rPr>
          <w:spacing w:val="-2"/>
        </w:rPr>
        <w:t xml:space="preserve"> </w:t>
      </w:r>
      <w:r w:rsidR="00A967B1">
        <w:t>..</w:t>
      </w:r>
      <w:r w:rsidR="003D4C67">
        <w:tab/>
        <w:t>Published:</w:t>
      </w:r>
      <w:r w:rsidR="003D4C67">
        <w:rPr>
          <w:spacing w:val="-5"/>
        </w:rPr>
        <w:t xml:space="preserve"> </w:t>
      </w:r>
      <w:r w:rsidR="00A967B1">
        <w:t>..</w:t>
      </w:r>
    </w:p>
    <w:p w14:paraId="6A1547AE" w14:textId="77777777" w:rsidR="004025AD" w:rsidRDefault="004025AD">
      <w:pPr>
        <w:pStyle w:val="BodyText"/>
        <w:spacing w:before="11"/>
        <w:rPr>
          <w:sz w:val="23"/>
        </w:rPr>
      </w:pPr>
    </w:p>
    <w:p w14:paraId="4D6BD38C" w14:textId="77777777" w:rsidR="004025AD" w:rsidRDefault="004025AD">
      <w:pPr>
        <w:rPr>
          <w:sz w:val="23"/>
        </w:rPr>
        <w:sectPr w:rsidR="004025AD">
          <w:headerReference w:type="default" r:id="rId10"/>
          <w:footerReference w:type="default" r:id="rId11"/>
          <w:type w:val="continuous"/>
          <w:pgSz w:w="11910" w:h="16840"/>
          <w:pgMar w:top="1340" w:right="1320" w:bottom="1160" w:left="1340" w:header="725" w:footer="974" w:gutter="0"/>
          <w:pgNumType w:start="1"/>
          <w:cols w:space="720"/>
        </w:sectPr>
      </w:pPr>
    </w:p>
    <w:p w14:paraId="3C9F8CEF" w14:textId="77777777" w:rsidR="004025AD" w:rsidRDefault="003D4C67" w:rsidP="0032386F">
      <w:pPr>
        <w:pStyle w:val="Heading1"/>
        <w:spacing w:before="94" w:line="272" w:lineRule="exact"/>
        <w:ind w:left="0"/>
      </w:pPr>
      <w:r>
        <w:lastRenderedPageBreak/>
        <w:t>INTRODUCTION</w:t>
      </w:r>
    </w:p>
    <w:p w14:paraId="6C1B82E5" w14:textId="7009D7DD" w:rsidR="00F4131E" w:rsidRPr="00F4131E" w:rsidRDefault="00F4131E" w:rsidP="0032386F">
      <w:pPr>
        <w:pStyle w:val="BodyText"/>
        <w:ind w:right="45"/>
        <w:jc w:val="both"/>
      </w:pPr>
      <w:r w:rsidRPr="00F4131E">
        <w:t>The integration of critical pedagogy (CP) in the teaching of English as a Forei</w:t>
      </w:r>
      <w:r w:rsidR="00400D5B">
        <w:t>g</w:t>
      </w:r>
      <w:r w:rsidRPr="00F4131E">
        <w:t>n Langu</w:t>
      </w:r>
      <w:r w:rsidR="004413EC">
        <w:t>a</w:t>
      </w:r>
      <w:r w:rsidRPr="00F4131E">
        <w:t>ge (EFL) in Indonesia has been called for and promoted since the last two decades (Alwasilah, 2004; Emilia, 2005; Hayati, 2010; Larson, 2014; Mambu, 20</w:t>
      </w:r>
      <w:r w:rsidR="004413EC">
        <w:t>11</w:t>
      </w:r>
      <w:r w:rsidRPr="00F4131E">
        <w:t xml:space="preserve">). The call is getting stronger after the release of latest Indonesian Ministry of Education and Culture (MOEC) policy, Merdeka Belajar (Emancipated Learning), in 2020. Prahani et al. (2020) in their article explicitly elaborate the alignment as well as the correlation between Emancipated Learning policy and the tenets of CP. They claim that it is relevant to Paolo Freire’s view and that there are intersections between the policy issued by the MOEC and the principles of CP. </w:t>
      </w:r>
    </w:p>
    <w:p w14:paraId="1F3C11C6" w14:textId="19F19C00" w:rsidR="00F4131E" w:rsidRPr="00C62566" w:rsidRDefault="00F4131E" w:rsidP="004960F7">
      <w:pPr>
        <w:pStyle w:val="BodyText"/>
        <w:ind w:right="38" w:firstLine="542"/>
        <w:jc w:val="both"/>
        <w:rPr>
          <w:lang w:val="en-GB"/>
        </w:rPr>
      </w:pPr>
      <w:r w:rsidRPr="00C62566">
        <w:rPr>
          <w:lang w:val="en-GB"/>
        </w:rPr>
        <w:t xml:space="preserve">CP is a </w:t>
      </w:r>
      <w:r w:rsidRPr="0032386F">
        <w:rPr>
          <w:lang w:val="en-GB"/>
        </w:rPr>
        <w:t>transformative</w:t>
      </w:r>
      <w:r w:rsidRPr="00C62566">
        <w:rPr>
          <w:lang w:val="en-GB"/>
        </w:rPr>
        <w:t xml:space="preserve"> theory and practice of education that was firstly applied by a Brazilian educator, Paolo Freire, in teaching an adult first language literacy program for low-wage workers and peasants at Recife, Brazil, in 1960s (Freire, 2005b). Over time, CP has been implemented worldwide in diverse contexts for different purposes, including at the EFL context in numerous non-English speaking countries. In the context of EFL education itself, the report on the use CP can be traced back to the early years of this century (Crookes, 2022).</w:t>
      </w:r>
      <w:r w:rsidR="004413EC">
        <w:rPr>
          <w:lang w:val="en-GB"/>
        </w:rPr>
        <w:t xml:space="preserve"> </w:t>
      </w:r>
      <w:r w:rsidRPr="00C62566">
        <w:rPr>
          <w:lang w:val="en-GB"/>
        </w:rPr>
        <w:t>CP</w:t>
      </w:r>
      <w:r w:rsidR="00BF247A">
        <w:rPr>
          <w:lang w:val="en-GB"/>
        </w:rPr>
        <w:t xml:space="preserve">, </w:t>
      </w:r>
      <w:r w:rsidRPr="00C62566">
        <w:rPr>
          <w:lang w:val="en-GB"/>
        </w:rPr>
        <w:t>when defined in the context of language learning, especially foreign language learning, is a teaching learning approach that is based upon the acceptance of its socio-cultural implication and has the ultimate purpose to transform society by discussing and relating grammatical knowledge and real-life wider social issues (McLaren, 2002; Crookes, 2012; Riasati &amp; Mollei, 2012). Numerous CP philosophers, theorists, and practitioners have formulated countless CP principles. However, this article proposes four CP principles as a result of syntactical reading upon the massive literature and publications. Those four CP principles are dialogue, problem-posing, praxis, and conscientization. Dialogue as the CP principle is understood as the foundation of every teaching and lea</w:t>
      </w:r>
      <w:r w:rsidR="0032386F">
        <w:rPr>
          <w:lang w:val="en-GB"/>
        </w:rPr>
        <w:t>r</w:t>
      </w:r>
      <w:r w:rsidRPr="00C62566">
        <w:rPr>
          <w:lang w:val="en-GB"/>
        </w:rPr>
        <w:t xml:space="preserve">ning process as it involves both teachers and learners as the </w:t>
      </w:r>
      <w:r w:rsidRPr="00C62566">
        <w:rPr>
          <w:lang w:val="en-GB"/>
        </w:rPr>
        <w:t>agents who exchange knowledge and experience as well as share power (Shor &amp; Freire, 1987; Giroux, 1997; McLaren, 2003; Barlett, 2005; Freire, 2005a, 2005b; Kaufman, 2010; Larson, 2014). Problem-posing provides necessary direction for bringing students’ real-life problems to classroom and connecting them to the materials as the basis of classroom discussions (Freire &amp; Macedo, 2005; Nixon-Ponder, 1995; Shor, 1996; Freire, 2005a, 2005b; Mochinski, 2008; Paat, 2011). In the meantime, praxis is defined as the integration of action and reflection both inside and outside classroom (Shor &amp; Freire, 1987; McLaren, 2003; Freire, 2005a, 2005b; Kincheloe, 2008; Mochinski, 2008; Thinsan, 2015). The last principle, conscientization, is the process of achieving the third level of consciousness, critical consciousness, in which individuals are aware of the systematic oppressive realities and strategically take actions to counter them (Freire &amp; Macedo, 2005; Freire, 2005a, 2005b; Armitage, 2013; Abednia &amp; Izadinia, 2015; Leal, 2021).</w:t>
      </w:r>
    </w:p>
    <w:p w14:paraId="0DCB1D6A" w14:textId="77777777" w:rsidR="00BF247A" w:rsidRDefault="00F4131E" w:rsidP="004960F7">
      <w:pPr>
        <w:pStyle w:val="BodyText"/>
        <w:ind w:right="38" w:firstLine="542"/>
        <w:jc w:val="both"/>
        <w:rPr>
          <w:lang w:val="en-GB"/>
        </w:rPr>
      </w:pPr>
      <w:r w:rsidRPr="00C62566">
        <w:rPr>
          <w:lang w:val="en-GB"/>
        </w:rPr>
        <w:t xml:space="preserve">A lot of </w:t>
      </w:r>
      <w:r w:rsidRPr="00F4131E">
        <w:t>research</w:t>
      </w:r>
      <w:r w:rsidRPr="00C62566">
        <w:rPr>
          <w:lang w:val="en-GB"/>
        </w:rPr>
        <w:t xml:space="preserve"> on how EFL teachers view and implement CP principles in different education levels in both Indonesia and abroad has been conducted by numerous researchers. Only to mention three of the current research conducted in Indonesia, there are Ikhtiar (2016), Sulstyowardani at al. (2020), and Santoso &amp; Christiani (2021). Ikhtiar (2016) conducted a study on how a junior highs school EFL teacher practice three CP principles namely problem-posing, dialogue, as well as conscientization, in her classroom in Salatiga, Indonesia.  Sulistyowardani et al. (2020) studied two senior high school EFL teachers’ cognition and practice toward CP in their classroom also in Salatiga, Indonesia. Santoso &amp; Christiani (2021) carried out a research about to investigate five higher education EFL teachers’ perspective regarding CP principles in the Indonesian capital, Jakarta.</w:t>
      </w:r>
    </w:p>
    <w:p w14:paraId="542DB40D" w14:textId="474BFB2A" w:rsidR="00F4131E" w:rsidRPr="00C62566" w:rsidRDefault="00F4131E" w:rsidP="004960F7">
      <w:pPr>
        <w:pStyle w:val="BodyText"/>
        <w:ind w:right="38" w:firstLine="542"/>
        <w:jc w:val="both"/>
        <w:rPr>
          <w:lang w:val="en-GB"/>
        </w:rPr>
      </w:pPr>
      <w:r w:rsidRPr="00C62566">
        <w:rPr>
          <w:lang w:val="en-GB"/>
        </w:rPr>
        <w:t>Meanwhile, from outside Indonesia,</w:t>
      </w:r>
      <w:r w:rsidR="00BF247A">
        <w:rPr>
          <w:lang w:val="en-GB"/>
        </w:rPr>
        <w:t xml:space="preserve"> t</w:t>
      </w:r>
      <w:r w:rsidR="00BF247A" w:rsidRPr="00BF247A">
        <w:rPr>
          <w:lang w:val="en-GB"/>
        </w:rPr>
        <w:t xml:space="preserve">here are several reports on the applications and research of CP in the EFL context worth to note in this article. Abkari (2008) elaborates classroom activities that can be done in integrating CP into ELT (English Language </w:t>
      </w:r>
      <w:r w:rsidR="00BF247A" w:rsidRPr="00BF247A">
        <w:rPr>
          <w:lang w:val="en-GB"/>
        </w:rPr>
        <w:lastRenderedPageBreak/>
        <w:t>Teaching), while Crookes (2010) focuses on the critical second language pedagogy relevance and practicality. Jeon (2009) wrote an article as a reflection of the CP application Korean ELT. Alvarez et al. (2012) reports the application of CP in the Argentinean EFL teacher education context. Benites (2012) concludes that the application of CP in the EFL context can help learners be successful and productive bilinguals. Conducting an ethnography study on the integration of CP in the foreign language classroom in Thai context, Yang (2020) unearths that CP as a teaching framework is relevant as well as productive in assisting students’ learning process of foreign language writing.  Herrera-Molina &amp; Portilla-Quintero (2021) did a literature review on the integration of CP in ELT in various regions in Columbia and found that the integration has been successful in developing students’ critical thinking. Conducting research in Tanzanian EFL context, Kavenuke &amp; Mutahnna (2021) discover that there are three categories of challenges that face by educators in practicing CEP that are crowded classes, lecturing style, and unsuitable assessment</w:t>
      </w:r>
      <w:r w:rsidR="00BF247A">
        <w:rPr>
          <w:lang w:val="en-GB"/>
        </w:rPr>
        <w:t>. I</w:t>
      </w:r>
      <w:r w:rsidRPr="00C62566">
        <w:rPr>
          <w:lang w:val="en-GB"/>
        </w:rPr>
        <w:t>t</w:t>
      </w:r>
      <w:r w:rsidR="00BF247A">
        <w:rPr>
          <w:lang w:val="en-GB"/>
        </w:rPr>
        <w:t xml:space="preserve"> can be</w:t>
      </w:r>
      <w:r w:rsidRPr="00C62566">
        <w:rPr>
          <w:lang w:val="en-GB"/>
        </w:rPr>
        <w:t xml:space="preserve"> concluded that there is still a gap in terms of lack of reported research on how EFL teachers teaching at different levels of education perceive and practice the four CP principles.</w:t>
      </w:r>
    </w:p>
    <w:p w14:paraId="503D5689" w14:textId="14A57EE2" w:rsidR="00F4131E" w:rsidRDefault="00F4131E" w:rsidP="004960F7">
      <w:pPr>
        <w:pStyle w:val="BodyText"/>
        <w:ind w:right="38" w:firstLine="542"/>
        <w:jc w:val="both"/>
      </w:pPr>
      <w:r w:rsidRPr="00C62566">
        <w:rPr>
          <w:lang w:val="en-GB"/>
        </w:rPr>
        <w:t>Taking into account the aforementioned elaboration, in order to fill the previously stated gap, the present study was conducted to discover beliefs and practices of Indonesian EFL teachers teaching in different school levels, having various educational backgrounds as well as degree of familiarity with CP, and living in diverse areas in West Java province, regarding the implementation of CP principles in EFL classrooms. In achieving its purpose, the upcoming elaboration of this article is organized mainly into four sections that are (1) literature review where the CP theories are provided to frame the study, (2) research method, (3) finding and discussion consisting of beliefs and practices, and (4) con</w:t>
      </w:r>
      <w:r>
        <w:rPr>
          <w:lang w:val="en-GB"/>
        </w:rPr>
        <w:t>c</w:t>
      </w:r>
      <w:r w:rsidRPr="00C62566">
        <w:rPr>
          <w:lang w:val="en-GB"/>
        </w:rPr>
        <w:t>lusion</w:t>
      </w:r>
      <w:r>
        <w:rPr>
          <w:lang w:val="en-GB"/>
        </w:rPr>
        <w:t xml:space="preserve"> </w:t>
      </w:r>
      <w:r w:rsidRPr="00C62566">
        <w:rPr>
          <w:lang w:val="en-GB"/>
        </w:rPr>
        <w:t>where the implications of this study are proposed.</w:t>
      </w:r>
    </w:p>
    <w:p w14:paraId="2E630A47" w14:textId="77777777" w:rsidR="004025AD" w:rsidRDefault="004025AD">
      <w:pPr>
        <w:pStyle w:val="BodyText"/>
        <w:spacing w:before="2"/>
      </w:pPr>
    </w:p>
    <w:p w14:paraId="288E1020" w14:textId="77777777" w:rsidR="004025AD" w:rsidRDefault="003D4C67" w:rsidP="004960F7">
      <w:pPr>
        <w:pStyle w:val="Heading1"/>
        <w:spacing w:before="1"/>
        <w:ind w:left="0"/>
      </w:pPr>
      <w:r>
        <w:t>METHOD</w:t>
      </w:r>
    </w:p>
    <w:p w14:paraId="1CB70903" w14:textId="35C82727" w:rsidR="00B423E9" w:rsidRDefault="00B423E9" w:rsidP="004960F7">
      <w:pPr>
        <w:pStyle w:val="BodyText"/>
        <w:ind w:right="116"/>
        <w:jc w:val="both"/>
      </w:pPr>
      <w:r w:rsidRPr="00C62566">
        <w:t>This study employed a case study design with 30 participants consisting of ten junior high school EFL teachers, ten senior high school EFL teachers, and the rest are EFL lecturers teaching at various higher education institutions in different regions in Indonesia. The participants are having various teaching experience and educational backgrounds. Nineteen of them are master degree holders, one is having doctoral degree, and ten are having bachelor degree. There are twenty</w:t>
      </w:r>
      <w:r>
        <w:t>-</w:t>
      </w:r>
      <w:r w:rsidRPr="00C62566">
        <w:t>one male participants, and the rest are female.</w:t>
      </w:r>
    </w:p>
    <w:p w14:paraId="069D0072" w14:textId="77777777" w:rsidR="0056661B" w:rsidRDefault="00B423E9" w:rsidP="004960F7">
      <w:pPr>
        <w:pStyle w:val="BodyText"/>
        <w:ind w:right="38" w:firstLine="642"/>
        <w:jc w:val="both"/>
      </w:pPr>
      <w:r w:rsidRPr="00C62566">
        <w:t>The data were collected using questionnaire and interview during the 2022/2023 academic year, from July 2022 to August 2023. The questionnaire, Teacher Critical Pedagogy Attitude and Implementation (TCPAI), was adapted from Yilmaz (2009), Mahmoodabari &amp; Khodabakhsh (2015), and Ali et al. (2016). The adaptation was performed by selecting the most relevant statements representing the four CP principles for the Indonesian EFL context. Intended to investigate the participants’ beliefs and teaching practices regarding the four CP principles, the questionnaire consists of twenty statements (five statements for each CP principle) that have to respond using one to five likert-scale representing strongly disagree to strongly agree (for belief) and never to always (for practice). The questionnaire was written in the form of Google Form and distributed online.</w:t>
      </w:r>
    </w:p>
    <w:p w14:paraId="40FFDC92" w14:textId="6A1DA491" w:rsidR="00B423E9" w:rsidRPr="00C62566" w:rsidRDefault="0056661B" w:rsidP="004960F7">
      <w:pPr>
        <w:pStyle w:val="BodyText"/>
        <w:ind w:right="38" w:firstLine="642"/>
        <w:jc w:val="both"/>
      </w:pPr>
      <w:r>
        <w:t>In the meantime</w:t>
      </w:r>
      <w:r w:rsidR="00B423E9" w:rsidRPr="00C62566">
        <w:t>, the interviews were conducted in semi-structured way to confirm and dig deeper the participants’ questionnaire responses to six of the participants; two participant</w:t>
      </w:r>
      <w:r w:rsidR="00B423E9">
        <w:t>s</w:t>
      </w:r>
      <w:r w:rsidR="00B423E9" w:rsidRPr="00C62566">
        <w:t>, PJ1 and PJ2, are junior highs school teachers; two participants, PS1 and PS2, are senior high school teachers; and two interviewees, PU1 and PU2, are lecturers teaching in two different univer</w:t>
      </w:r>
      <w:r w:rsidR="00B423E9">
        <w:t>s</w:t>
      </w:r>
      <w:r w:rsidR="00B423E9" w:rsidRPr="00C62566">
        <w:t xml:space="preserve">ities. </w:t>
      </w:r>
      <w:r>
        <w:t xml:space="preserve">The interviews were carried out online and audio-visually recorded. </w:t>
      </w:r>
      <w:r w:rsidR="00B423E9" w:rsidRPr="00C62566">
        <w:t>The interview questions were made considering the statements in the questionnaire as well as the related theoretical framework about the incorporating CP in EFL education.</w:t>
      </w:r>
    </w:p>
    <w:p w14:paraId="080E9D97" w14:textId="77777777" w:rsidR="00B423E9" w:rsidRPr="00C62566" w:rsidRDefault="00B423E9" w:rsidP="00B303AA">
      <w:pPr>
        <w:pStyle w:val="BodyText"/>
        <w:ind w:right="38" w:firstLine="542"/>
        <w:jc w:val="both"/>
      </w:pPr>
      <w:r w:rsidRPr="00C62566">
        <w:t xml:space="preserve">The data analysis procedure was performed in two major steps. The first step of </w:t>
      </w:r>
      <w:r w:rsidRPr="00C62566">
        <w:lastRenderedPageBreak/>
        <w:t>analysis was carried out on questionnaire data through descriptive statistics while the second stage was executed to the interview data through thematic analysis (Silverman, 2005; Yin, 2011; Alwasilah, 2012; Fraenkel et al., 2012). The data were then interpreted and compared to the previous related studies.</w:t>
      </w:r>
    </w:p>
    <w:p w14:paraId="33B45DB4" w14:textId="77777777" w:rsidR="004025AD" w:rsidRDefault="004025AD">
      <w:pPr>
        <w:pStyle w:val="BodyText"/>
        <w:spacing w:before="4"/>
      </w:pPr>
    </w:p>
    <w:p w14:paraId="297B8FF1" w14:textId="77777777" w:rsidR="004025AD" w:rsidRDefault="003D4C67" w:rsidP="00B303AA">
      <w:pPr>
        <w:pStyle w:val="Heading1"/>
        <w:spacing w:line="272" w:lineRule="exact"/>
        <w:ind w:left="0"/>
      </w:pPr>
      <w:r>
        <w:t>RESULTS</w:t>
      </w:r>
      <w:r>
        <w:rPr>
          <w:spacing w:val="-2"/>
        </w:rPr>
        <w:t xml:space="preserve"> </w:t>
      </w:r>
      <w:r>
        <w:t>AND</w:t>
      </w:r>
      <w:r>
        <w:rPr>
          <w:spacing w:val="-4"/>
        </w:rPr>
        <w:t xml:space="preserve"> </w:t>
      </w:r>
      <w:r>
        <w:t>DISCUSSION</w:t>
      </w:r>
    </w:p>
    <w:p w14:paraId="78EB6FD9" w14:textId="45C991F1" w:rsidR="00B423E9" w:rsidRDefault="009205CB" w:rsidP="00B303AA">
      <w:pPr>
        <w:pStyle w:val="BodyText"/>
        <w:ind w:right="119"/>
        <w:jc w:val="both"/>
        <w:rPr>
          <w:rFonts w:eastAsia="Calibri"/>
          <w:lang w:val="en-GB"/>
        </w:rPr>
      </w:pPr>
      <w:r w:rsidRPr="00C62566">
        <w:rPr>
          <w:rFonts w:eastAsia="Calibri"/>
          <w:lang w:val="en-GB"/>
        </w:rPr>
        <w:t>After analysing the collected data, it is found that generally, the participating teachers have a positive view as the mean score for the belief items toward the principles of CP is 4.21 (out of 5). Meanwhile for the practice, although it is still slightly lower than belief items (the total mean score for practice is 4.11), it still can be interpreted that the participating teachers, for some extents, perform classroom practices that are in line with the principles of CP, especially the dialogue and problem-posing ones. The following Table 1 displays the total mean score for both beliefs and practices from junior high school teachers, senior high school teachers, and university teachers.</w:t>
      </w:r>
    </w:p>
    <w:p w14:paraId="0639CB2E" w14:textId="77777777" w:rsidR="009205CB" w:rsidRPr="00C62566" w:rsidRDefault="009205CB" w:rsidP="009205CB">
      <w:pPr>
        <w:pStyle w:val="Tabel"/>
        <w:rPr>
          <w:rFonts w:ascii="Times New Roman" w:hAnsi="Times New Roman" w:cs="Times New Roman"/>
          <w:sz w:val="24"/>
          <w:szCs w:val="24"/>
        </w:rPr>
      </w:pPr>
      <w:r w:rsidRPr="001A2B50">
        <w:rPr>
          <w:rFonts w:ascii="Times New Roman" w:hAnsi="Times New Roman" w:cs="Times New Roman"/>
          <w:color w:val="auto"/>
          <w:sz w:val="24"/>
          <w:szCs w:val="24"/>
        </w:rPr>
        <w:t xml:space="preserve">Table 1 </w:t>
      </w:r>
      <w:r w:rsidRPr="001A2B50">
        <w:rPr>
          <w:rFonts w:ascii="Times New Roman" w:hAnsi="Times New Roman" w:cs="Times New Roman"/>
          <w:b w:val="0"/>
          <w:bCs/>
          <w:i/>
          <w:iCs/>
          <w:color w:val="auto"/>
          <w:sz w:val="24"/>
          <w:szCs w:val="24"/>
        </w:rPr>
        <w:t>Total Mean Score of TCPAI</w:t>
      </w:r>
    </w:p>
    <w:tbl>
      <w:tblPr>
        <w:tblW w:w="4477" w:type="dxa"/>
        <w:tblInd w:w="113" w:type="dxa"/>
        <w:tblBorders>
          <w:top w:val="single" w:sz="18" w:space="0" w:color="002060"/>
          <w:bottom w:val="single" w:sz="18" w:space="0" w:color="002060"/>
          <w:insideH w:val="single" w:sz="8" w:space="0" w:color="002060"/>
        </w:tblBorders>
        <w:tblCellMar>
          <w:top w:w="28" w:type="dxa"/>
          <w:left w:w="113" w:type="dxa"/>
          <w:bottom w:w="28" w:type="dxa"/>
        </w:tblCellMar>
        <w:tblLook w:val="04A0" w:firstRow="1" w:lastRow="0" w:firstColumn="1" w:lastColumn="0" w:noHBand="0" w:noVBand="1"/>
      </w:tblPr>
      <w:tblGrid>
        <w:gridCol w:w="2137"/>
        <w:gridCol w:w="990"/>
        <w:gridCol w:w="1350"/>
      </w:tblGrid>
      <w:tr w:rsidR="009205CB" w:rsidRPr="009205CB" w14:paraId="1EE677B0" w14:textId="77777777" w:rsidTr="00E15F7F">
        <w:trPr>
          <w:cantSplit/>
        </w:trPr>
        <w:tc>
          <w:tcPr>
            <w:tcW w:w="2137" w:type="dxa"/>
            <w:tcBorders>
              <w:top w:val="single" w:sz="18" w:space="0" w:color="002060"/>
            </w:tcBorders>
            <w:shd w:val="clear" w:color="auto" w:fill="auto"/>
            <w:vAlign w:val="center"/>
          </w:tcPr>
          <w:p w14:paraId="72346605" w14:textId="77777777" w:rsidR="009205CB" w:rsidRPr="009205CB" w:rsidRDefault="009205CB" w:rsidP="005F731D">
            <w:pPr>
              <w:rPr>
                <w:b/>
                <w:sz w:val="20"/>
                <w:szCs w:val="20"/>
              </w:rPr>
            </w:pPr>
            <w:r w:rsidRPr="009205CB">
              <w:rPr>
                <w:b/>
                <w:sz w:val="20"/>
                <w:szCs w:val="20"/>
              </w:rPr>
              <w:t>Fields</w:t>
            </w:r>
          </w:p>
        </w:tc>
        <w:tc>
          <w:tcPr>
            <w:tcW w:w="990" w:type="dxa"/>
            <w:tcBorders>
              <w:top w:val="single" w:sz="18" w:space="0" w:color="002060"/>
            </w:tcBorders>
            <w:shd w:val="clear" w:color="auto" w:fill="auto"/>
            <w:vAlign w:val="center"/>
          </w:tcPr>
          <w:p w14:paraId="5F3AC480" w14:textId="77777777" w:rsidR="009205CB" w:rsidRPr="009205CB" w:rsidRDefault="009205CB" w:rsidP="005F731D">
            <w:pPr>
              <w:rPr>
                <w:b/>
                <w:sz w:val="20"/>
                <w:szCs w:val="20"/>
              </w:rPr>
            </w:pPr>
            <w:r w:rsidRPr="009205CB">
              <w:rPr>
                <w:b/>
                <w:sz w:val="20"/>
                <w:szCs w:val="20"/>
              </w:rPr>
              <w:t>Beliefs</w:t>
            </w:r>
          </w:p>
        </w:tc>
        <w:tc>
          <w:tcPr>
            <w:tcW w:w="1350" w:type="dxa"/>
            <w:tcBorders>
              <w:top w:val="single" w:sz="18" w:space="0" w:color="002060"/>
            </w:tcBorders>
          </w:tcPr>
          <w:p w14:paraId="6C9157E9" w14:textId="77777777" w:rsidR="009205CB" w:rsidRPr="009205CB" w:rsidRDefault="009205CB" w:rsidP="005F731D">
            <w:pPr>
              <w:rPr>
                <w:b/>
                <w:sz w:val="20"/>
                <w:szCs w:val="20"/>
              </w:rPr>
            </w:pPr>
            <w:r w:rsidRPr="009205CB">
              <w:rPr>
                <w:b/>
                <w:sz w:val="20"/>
                <w:szCs w:val="20"/>
              </w:rPr>
              <w:t>Practices</w:t>
            </w:r>
          </w:p>
        </w:tc>
      </w:tr>
      <w:tr w:rsidR="009205CB" w:rsidRPr="009205CB" w14:paraId="3BDB8399" w14:textId="77777777" w:rsidTr="005F731D">
        <w:trPr>
          <w:cantSplit/>
        </w:trPr>
        <w:tc>
          <w:tcPr>
            <w:tcW w:w="2137" w:type="dxa"/>
            <w:tcBorders>
              <w:bottom w:val="nil"/>
            </w:tcBorders>
            <w:shd w:val="clear" w:color="auto" w:fill="auto"/>
            <w:vAlign w:val="center"/>
          </w:tcPr>
          <w:p w14:paraId="0A8A601A" w14:textId="77777777" w:rsidR="009205CB" w:rsidRPr="009205CB" w:rsidRDefault="009205CB" w:rsidP="005F731D">
            <w:pPr>
              <w:rPr>
                <w:sz w:val="20"/>
                <w:szCs w:val="20"/>
                <w:vertAlign w:val="superscript"/>
              </w:rPr>
            </w:pPr>
            <w:r w:rsidRPr="009205CB">
              <w:rPr>
                <w:sz w:val="20"/>
                <w:szCs w:val="20"/>
              </w:rPr>
              <w:t>Junior High School</w:t>
            </w:r>
          </w:p>
        </w:tc>
        <w:tc>
          <w:tcPr>
            <w:tcW w:w="990" w:type="dxa"/>
            <w:tcBorders>
              <w:bottom w:val="nil"/>
            </w:tcBorders>
            <w:shd w:val="clear" w:color="auto" w:fill="auto"/>
            <w:vAlign w:val="bottom"/>
          </w:tcPr>
          <w:p w14:paraId="79956BA8" w14:textId="77777777" w:rsidR="009205CB" w:rsidRPr="009205CB" w:rsidRDefault="009205CB" w:rsidP="005F731D">
            <w:pPr>
              <w:rPr>
                <w:sz w:val="20"/>
                <w:szCs w:val="20"/>
              </w:rPr>
            </w:pPr>
            <w:r w:rsidRPr="009205CB">
              <w:rPr>
                <w:sz w:val="20"/>
                <w:szCs w:val="20"/>
              </w:rPr>
              <w:t>4.17</w:t>
            </w:r>
          </w:p>
        </w:tc>
        <w:tc>
          <w:tcPr>
            <w:tcW w:w="1350" w:type="dxa"/>
            <w:tcBorders>
              <w:bottom w:val="nil"/>
            </w:tcBorders>
            <w:vAlign w:val="bottom"/>
          </w:tcPr>
          <w:p w14:paraId="744FFE4B" w14:textId="77777777" w:rsidR="009205CB" w:rsidRPr="009205CB" w:rsidRDefault="009205CB" w:rsidP="005F731D">
            <w:pPr>
              <w:rPr>
                <w:sz w:val="20"/>
                <w:szCs w:val="20"/>
              </w:rPr>
            </w:pPr>
            <w:r w:rsidRPr="009205CB">
              <w:rPr>
                <w:sz w:val="20"/>
                <w:szCs w:val="20"/>
              </w:rPr>
              <w:t>4.11</w:t>
            </w:r>
          </w:p>
        </w:tc>
      </w:tr>
      <w:tr w:rsidR="009205CB" w:rsidRPr="009205CB" w14:paraId="50DBE386" w14:textId="77777777" w:rsidTr="005F731D">
        <w:trPr>
          <w:cantSplit/>
        </w:trPr>
        <w:tc>
          <w:tcPr>
            <w:tcW w:w="2137" w:type="dxa"/>
            <w:tcBorders>
              <w:top w:val="nil"/>
              <w:bottom w:val="nil"/>
            </w:tcBorders>
            <w:shd w:val="clear" w:color="auto" w:fill="auto"/>
            <w:vAlign w:val="center"/>
          </w:tcPr>
          <w:p w14:paraId="6F546443" w14:textId="77777777" w:rsidR="009205CB" w:rsidRPr="009205CB" w:rsidRDefault="009205CB" w:rsidP="005F731D">
            <w:pPr>
              <w:rPr>
                <w:sz w:val="20"/>
                <w:szCs w:val="20"/>
              </w:rPr>
            </w:pPr>
            <w:r w:rsidRPr="009205CB">
              <w:rPr>
                <w:sz w:val="20"/>
                <w:szCs w:val="20"/>
              </w:rPr>
              <w:t>Senior High School</w:t>
            </w:r>
          </w:p>
        </w:tc>
        <w:tc>
          <w:tcPr>
            <w:tcW w:w="990" w:type="dxa"/>
            <w:tcBorders>
              <w:top w:val="nil"/>
              <w:bottom w:val="nil"/>
            </w:tcBorders>
            <w:shd w:val="clear" w:color="auto" w:fill="auto"/>
            <w:vAlign w:val="bottom"/>
          </w:tcPr>
          <w:p w14:paraId="13975CD2" w14:textId="77777777" w:rsidR="009205CB" w:rsidRPr="009205CB" w:rsidRDefault="009205CB" w:rsidP="005F731D">
            <w:pPr>
              <w:rPr>
                <w:sz w:val="20"/>
                <w:szCs w:val="20"/>
              </w:rPr>
            </w:pPr>
            <w:r w:rsidRPr="009205CB">
              <w:rPr>
                <w:sz w:val="20"/>
                <w:szCs w:val="20"/>
              </w:rPr>
              <w:t>4.19</w:t>
            </w:r>
          </w:p>
        </w:tc>
        <w:tc>
          <w:tcPr>
            <w:tcW w:w="1350" w:type="dxa"/>
            <w:tcBorders>
              <w:top w:val="nil"/>
              <w:bottom w:val="nil"/>
            </w:tcBorders>
            <w:vAlign w:val="bottom"/>
          </w:tcPr>
          <w:p w14:paraId="30D0AF25" w14:textId="77777777" w:rsidR="009205CB" w:rsidRPr="009205CB" w:rsidRDefault="009205CB" w:rsidP="005F731D">
            <w:pPr>
              <w:rPr>
                <w:sz w:val="20"/>
                <w:szCs w:val="20"/>
              </w:rPr>
            </w:pPr>
            <w:r w:rsidRPr="009205CB">
              <w:rPr>
                <w:sz w:val="20"/>
                <w:szCs w:val="20"/>
              </w:rPr>
              <w:t>4.10</w:t>
            </w:r>
          </w:p>
        </w:tc>
      </w:tr>
      <w:tr w:rsidR="009205CB" w:rsidRPr="009205CB" w14:paraId="65C5F044" w14:textId="77777777" w:rsidTr="005F731D">
        <w:trPr>
          <w:cantSplit/>
        </w:trPr>
        <w:tc>
          <w:tcPr>
            <w:tcW w:w="2137" w:type="dxa"/>
            <w:tcBorders>
              <w:top w:val="nil"/>
              <w:bottom w:val="nil"/>
            </w:tcBorders>
            <w:shd w:val="clear" w:color="auto" w:fill="auto"/>
            <w:vAlign w:val="center"/>
          </w:tcPr>
          <w:p w14:paraId="1EB477A7" w14:textId="3F50A7D7" w:rsidR="009205CB" w:rsidRPr="009205CB" w:rsidRDefault="009205CB" w:rsidP="005F731D">
            <w:pPr>
              <w:rPr>
                <w:sz w:val="20"/>
                <w:szCs w:val="20"/>
              </w:rPr>
            </w:pPr>
            <w:r w:rsidRPr="009205CB">
              <w:rPr>
                <w:sz w:val="20"/>
                <w:szCs w:val="20"/>
              </w:rPr>
              <w:t>Hi</w:t>
            </w:r>
            <w:r w:rsidR="00E15F7F">
              <w:rPr>
                <w:sz w:val="20"/>
                <w:szCs w:val="20"/>
              </w:rPr>
              <w:t>gh</w:t>
            </w:r>
            <w:r w:rsidRPr="009205CB">
              <w:rPr>
                <w:sz w:val="20"/>
                <w:szCs w:val="20"/>
              </w:rPr>
              <w:t>er Education</w:t>
            </w:r>
          </w:p>
        </w:tc>
        <w:tc>
          <w:tcPr>
            <w:tcW w:w="990" w:type="dxa"/>
            <w:tcBorders>
              <w:top w:val="nil"/>
              <w:bottom w:val="nil"/>
            </w:tcBorders>
            <w:shd w:val="clear" w:color="auto" w:fill="auto"/>
            <w:vAlign w:val="bottom"/>
          </w:tcPr>
          <w:p w14:paraId="0C5F11B2" w14:textId="77777777" w:rsidR="009205CB" w:rsidRPr="009205CB" w:rsidRDefault="009205CB" w:rsidP="005F731D">
            <w:pPr>
              <w:rPr>
                <w:sz w:val="20"/>
                <w:szCs w:val="20"/>
              </w:rPr>
            </w:pPr>
            <w:r w:rsidRPr="009205CB">
              <w:rPr>
                <w:sz w:val="20"/>
                <w:szCs w:val="20"/>
              </w:rPr>
              <w:t>4.28</w:t>
            </w:r>
          </w:p>
        </w:tc>
        <w:tc>
          <w:tcPr>
            <w:tcW w:w="1350" w:type="dxa"/>
            <w:tcBorders>
              <w:top w:val="nil"/>
              <w:bottom w:val="nil"/>
            </w:tcBorders>
            <w:vAlign w:val="bottom"/>
          </w:tcPr>
          <w:p w14:paraId="36368CD7" w14:textId="77777777" w:rsidR="009205CB" w:rsidRPr="009205CB" w:rsidRDefault="009205CB" w:rsidP="005F731D">
            <w:pPr>
              <w:rPr>
                <w:sz w:val="20"/>
                <w:szCs w:val="20"/>
              </w:rPr>
            </w:pPr>
            <w:r w:rsidRPr="009205CB">
              <w:rPr>
                <w:sz w:val="20"/>
                <w:szCs w:val="20"/>
              </w:rPr>
              <w:t>4.13</w:t>
            </w:r>
          </w:p>
        </w:tc>
      </w:tr>
      <w:tr w:rsidR="009205CB" w:rsidRPr="009205CB" w14:paraId="0E6203C9" w14:textId="77777777" w:rsidTr="00E15F7F">
        <w:trPr>
          <w:cantSplit/>
        </w:trPr>
        <w:tc>
          <w:tcPr>
            <w:tcW w:w="2137" w:type="dxa"/>
            <w:tcBorders>
              <w:top w:val="nil"/>
              <w:bottom w:val="single" w:sz="18" w:space="0" w:color="002060"/>
            </w:tcBorders>
            <w:shd w:val="clear" w:color="auto" w:fill="auto"/>
            <w:vAlign w:val="center"/>
          </w:tcPr>
          <w:p w14:paraId="759F4A93" w14:textId="77777777" w:rsidR="009205CB" w:rsidRPr="009205CB" w:rsidRDefault="009205CB" w:rsidP="005F731D">
            <w:pPr>
              <w:rPr>
                <w:sz w:val="20"/>
                <w:szCs w:val="20"/>
              </w:rPr>
            </w:pPr>
            <w:r w:rsidRPr="009205CB">
              <w:rPr>
                <w:sz w:val="20"/>
                <w:szCs w:val="20"/>
              </w:rPr>
              <w:t>Total</w:t>
            </w:r>
          </w:p>
        </w:tc>
        <w:tc>
          <w:tcPr>
            <w:tcW w:w="990" w:type="dxa"/>
            <w:tcBorders>
              <w:top w:val="nil"/>
              <w:bottom w:val="single" w:sz="18" w:space="0" w:color="002060"/>
            </w:tcBorders>
            <w:shd w:val="clear" w:color="auto" w:fill="auto"/>
            <w:vAlign w:val="center"/>
          </w:tcPr>
          <w:p w14:paraId="7AFCDC7D" w14:textId="77777777" w:rsidR="009205CB" w:rsidRPr="009205CB" w:rsidRDefault="009205CB" w:rsidP="005F731D">
            <w:pPr>
              <w:rPr>
                <w:sz w:val="20"/>
                <w:szCs w:val="20"/>
              </w:rPr>
            </w:pPr>
            <w:r w:rsidRPr="009205CB">
              <w:rPr>
                <w:sz w:val="20"/>
                <w:szCs w:val="20"/>
              </w:rPr>
              <w:t>4.21</w:t>
            </w:r>
          </w:p>
        </w:tc>
        <w:tc>
          <w:tcPr>
            <w:tcW w:w="1350" w:type="dxa"/>
            <w:tcBorders>
              <w:top w:val="nil"/>
              <w:bottom w:val="single" w:sz="18" w:space="0" w:color="002060"/>
            </w:tcBorders>
            <w:vAlign w:val="bottom"/>
          </w:tcPr>
          <w:p w14:paraId="51A3A79D" w14:textId="77777777" w:rsidR="009205CB" w:rsidRPr="009205CB" w:rsidRDefault="009205CB" w:rsidP="005F731D">
            <w:pPr>
              <w:rPr>
                <w:sz w:val="20"/>
                <w:szCs w:val="20"/>
              </w:rPr>
            </w:pPr>
            <w:r w:rsidRPr="009205CB">
              <w:rPr>
                <w:sz w:val="20"/>
                <w:szCs w:val="20"/>
              </w:rPr>
              <w:t>4.11</w:t>
            </w:r>
          </w:p>
        </w:tc>
      </w:tr>
    </w:tbl>
    <w:p w14:paraId="60F09301" w14:textId="346A578F" w:rsidR="009205CB" w:rsidRDefault="009205CB" w:rsidP="004960F7">
      <w:pPr>
        <w:pStyle w:val="BodyText"/>
        <w:spacing w:before="3"/>
        <w:ind w:right="38" w:firstLine="642"/>
        <w:jc w:val="both"/>
        <w:rPr>
          <w:rFonts w:eastAsia="Calibri"/>
          <w:lang w:val="en-GB"/>
        </w:rPr>
      </w:pPr>
      <w:r w:rsidRPr="00C62566">
        <w:rPr>
          <w:rFonts w:eastAsia="Calibri"/>
          <w:lang w:val="en-GB"/>
        </w:rPr>
        <w:t xml:space="preserve">As it is seen in the table, the higher education EFL </w:t>
      </w:r>
      <w:r w:rsidRPr="009205CB">
        <w:t>teachers</w:t>
      </w:r>
      <w:r w:rsidRPr="00C62566">
        <w:rPr>
          <w:rFonts w:eastAsia="Calibri"/>
          <w:lang w:val="en-GB"/>
        </w:rPr>
        <w:t xml:space="preserve"> have highest mean scores for both belief and practice. It can be interpreted that the participants teaching EFL in higher education institutions are having more openness and acceptance towards the four CP principles than those who teach in junior high schools and senior high schools. This is probably because of in the academia, the teachers are receiving a great amount of authority and freedom in designing as well as running their classrooms so that they can be more flexible and adaptable in their practices as one of the consequences of practicing dialogue is the classrooms tend to be unpredictable (Mochinski, 2008).</w:t>
      </w:r>
    </w:p>
    <w:p w14:paraId="523D709E" w14:textId="619040AA" w:rsidR="002E4353" w:rsidRPr="002E4353" w:rsidRDefault="002E4353" w:rsidP="004960F7">
      <w:pPr>
        <w:spacing w:line="275" w:lineRule="exact"/>
        <w:rPr>
          <w:b/>
          <w:i/>
          <w:sz w:val="24"/>
        </w:rPr>
      </w:pPr>
      <w:r w:rsidRPr="002E4353">
        <w:rPr>
          <w:b/>
          <w:i/>
          <w:sz w:val="24"/>
        </w:rPr>
        <w:t>Beliefs</w:t>
      </w:r>
    </w:p>
    <w:p w14:paraId="156B979A" w14:textId="77777777" w:rsidR="009205CB" w:rsidRPr="00C62566" w:rsidRDefault="009205CB" w:rsidP="004960F7">
      <w:pPr>
        <w:pStyle w:val="BodyText"/>
        <w:spacing w:before="3"/>
        <w:ind w:right="38"/>
        <w:jc w:val="both"/>
        <w:rPr>
          <w:rFonts w:eastAsia="Calibri"/>
          <w:lang w:val="en-GB"/>
        </w:rPr>
      </w:pPr>
      <w:r w:rsidRPr="00C62566">
        <w:rPr>
          <w:rFonts w:eastAsia="Calibri"/>
          <w:lang w:val="en-GB"/>
        </w:rPr>
        <w:t xml:space="preserve">Regarding beliefs toward the four CP principles, the data collected from both the </w:t>
      </w:r>
      <w:r w:rsidRPr="00C62566">
        <w:rPr>
          <w:rFonts w:eastAsia="Calibri"/>
          <w:lang w:val="en-GB"/>
        </w:rPr>
        <w:t>questionnaire and the interview consistently demonstrate that the participating teachers have positive ones as it can be seen in the Table 3. Moreover, the interview data support the affirmative views of participants toward the CP principles. It is indicated in the following excerpt mentioned by, PJ2, a participant teaching in junior high school:</w:t>
      </w:r>
    </w:p>
    <w:p w14:paraId="2800DF01" w14:textId="2930ABEC" w:rsidR="00E15F7F" w:rsidRPr="004306E2" w:rsidRDefault="00E15F7F" w:rsidP="00E15F7F">
      <w:pPr>
        <w:pStyle w:val="BodyText"/>
        <w:spacing w:before="3"/>
        <w:ind w:left="720" w:right="38" w:hanging="78"/>
        <w:jc w:val="both"/>
        <w:rPr>
          <w:rFonts w:eastAsia="Calibri"/>
          <w:lang w:val="en-GB"/>
        </w:rPr>
      </w:pPr>
      <w:r>
        <w:rPr>
          <w:rFonts w:eastAsia="Calibri"/>
          <w:lang w:val="en-GB"/>
        </w:rPr>
        <w:t>“</w:t>
      </w:r>
      <w:r w:rsidR="006561D6">
        <w:rPr>
          <w:i/>
          <w:iCs/>
        </w:rPr>
        <w:t>S</w:t>
      </w:r>
      <w:r w:rsidR="006561D6" w:rsidRPr="00452A66">
        <w:rPr>
          <w:i/>
          <w:iCs/>
        </w:rPr>
        <w:t xml:space="preserve">iswa itu memiliki potensi yang mungkin lebih besar daripada kita ya atau pengetahuan yang lebih besar ya daripada kita </w:t>
      </w:r>
      <w:r w:rsidR="006561D6">
        <w:t>(</w:t>
      </w:r>
      <w:r w:rsidRPr="004306E2">
        <w:rPr>
          <w:rFonts w:eastAsia="Calibri"/>
          <w:lang w:val="en-GB"/>
        </w:rPr>
        <w:t xml:space="preserve">The students have potential that is possibly bigger than </w:t>
      </w:r>
      <w:r w:rsidR="006561D6">
        <w:rPr>
          <w:rFonts w:eastAsia="Calibri"/>
          <w:lang w:val="en-GB"/>
        </w:rPr>
        <w:t>our</w:t>
      </w:r>
      <w:r w:rsidRPr="004306E2">
        <w:rPr>
          <w:rFonts w:eastAsia="Calibri"/>
          <w:lang w:val="en-GB"/>
        </w:rPr>
        <w:t xml:space="preserve">s or knowledge that is wider than </w:t>
      </w:r>
      <w:r w:rsidR="006561D6">
        <w:rPr>
          <w:rFonts w:eastAsia="Calibri"/>
          <w:lang w:val="en-GB"/>
        </w:rPr>
        <w:t>our</w:t>
      </w:r>
      <w:r w:rsidRPr="004306E2">
        <w:rPr>
          <w:rFonts w:eastAsia="Calibri"/>
          <w:lang w:val="en-GB"/>
        </w:rPr>
        <w:t>s</w:t>
      </w:r>
      <w:r w:rsidR="006561D6">
        <w:rPr>
          <w:rFonts w:eastAsia="Calibri"/>
          <w:lang w:val="en-GB"/>
        </w:rPr>
        <w:t>)</w:t>
      </w:r>
      <w:r w:rsidRPr="004306E2">
        <w:rPr>
          <w:rFonts w:eastAsia="Calibri"/>
          <w:lang w:val="en-GB"/>
        </w:rPr>
        <w:t>.</w:t>
      </w:r>
      <w:r>
        <w:rPr>
          <w:rFonts w:eastAsia="Calibri"/>
          <w:lang w:val="en-GB"/>
        </w:rPr>
        <w:t>”</w:t>
      </w:r>
    </w:p>
    <w:p w14:paraId="126F988D" w14:textId="77777777" w:rsidR="00E15F7F" w:rsidRPr="00C62566" w:rsidRDefault="00E15F7F" w:rsidP="004960F7">
      <w:pPr>
        <w:pStyle w:val="BodyText"/>
        <w:spacing w:before="3"/>
        <w:ind w:right="38" w:firstLine="542"/>
        <w:jc w:val="both"/>
        <w:rPr>
          <w:rFonts w:eastAsia="Calibri"/>
          <w:lang w:val="en-GB"/>
        </w:rPr>
      </w:pPr>
      <w:r w:rsidRPr="00C62566">
        <w:rPr>
          <w:rFonts w:eastAsia="Calibri"/>
          <w:lang w:val="en-GB"/>
        </w:rPr>
        <w:t>The excerpt, that is in line with the dialogue principle, is an indication that the participating teacher recognizes her students as real humans and does not reduce them only as empty glass nor bank account (Freire, 2005a).</w:t>
      </w:r>
    </w:p>
    <w:p w14:paraId="56BE85B1" w14:textId="77777777" w:rsidR="00E15F7F" w:rsidRPr="00C62566" w:rsidRDefault="00E15F7F" w:rsidP="004960F7">
      <w:pPr>
        <w:pStyle w:val="BodyText"/>
        <w:spacing w:before="3"/>
        <w:ind w:right="38" w:firstLine="542"/>
        <w:jc w:val="both"/>
        <w:rPr>
          <w:rFonts w:eastAsia="Calibri"/>
          <w:lang w:val="en-GB"/>
        </w:rPr>
      </w:pPr>
      <w:r w:rsidRPr="00C62566">
        <w:rPr>
          <w:rFonts w:eastAsia="Calibri"/>
          <w:lang w:val="en-GB"/>
        </w:rPr>
        <w:t>Furthermore, PS1, a participating teacher teaching in senior high school, expressed an opinion that represents the alignment with the principle of problem-posing in the following excerpt:</w:t>
      </w:r>
    </w:p>
    <w:p w14:paraId="468D9B53" w14:textId="5ABC0899" w:rsidR="00E15F7F" w:rsidRPr="004306E2" w:rsidRDefault="00E15F7F" w:rsidP="00E15F7F">
      <w:pPr>
        <w:pStyle w:val="BodyText"/>
        <w:spacing w:before="3"/>
        <w:ind w:left="720" w:right="38" w:hanging="78"/>
        <w:jc w:val="both"/>
        <w:rPr>
          <w:rFonts w:eastAsia="Calibri"/>
          <w:lang w:val="en-GB"/>
        </w:rPr>
      </w:pPr>
      <w:r>
        <w:rPr>
          <w:rFonts w:eastAsia="Calibri"/>
          <w:lang w:val="en-GB"/>
        </w:rPr>
        <w:t>“</w:t>
      </w:r>
      <w:r w:rsidR="006561D6">
        <w:rPr>
          <w:rFonts w:eastAsia="Calibri"/>
          <w:lang w:val="en-GB"/>
        </w:rPr>
        <w:t>(</w:t>
      </w:r>
      <w:r w:rsidR="006561D6">
        <w:rPr>
          <w:i/>
          <w:iCs/>
        </w:rPr>
        <w:t>G</w:t>
      </w:r>
      <w:r w:rsidR="006561D6" w:rsidRPr="0075593E">
        <w:rPr>
          <w:i/>
          <w:iCs/>
        </w:rPr>
        <w:t xml:space="preserve">uru harus bisa memfasilitasi perbedaaan dengan pemberian pembelajaran yang bervariasi disesuaikan dengan kondisi, kebutuhan, dan karakteristik siswa </w:t>
      </w:r>
      <w:r w:rsidR="006561D6">
        <w:t>(</w:t>
      </w:r>
      <w:r w:rsidRPr="004306E2">
        <w:rPr>
          <w:rFonts w:eastAsia="Calibri"/>
          <w:lang w:val="en-GB"/>
        </w:rPr>
        <w:t>Teacher must facilitate the diversity by providing various learning activities according to different situations, needs, and characteristics of students</w:t>
      </w:r>
      <w:r w:rsidR="006561D6">
        <w:rPr>
          <w:rFonts w:eastAsia="Calibri"/>
          <w:lang w:val="en-GB"/>
        </w:rPr>
        <w:t>)</w:t>
      </w:r>
      <w:r w:rsidRPr="004306E2">
        <w:rPr>
          <w:rFonts w:eastAsia="Calibri"/>
          <w:lang w:val="en-GB"/>
        </w:rPr>
        <w:t>.</w:t>
      </w:r>
      <w:r>
        <w:rPr>
          <w:rFonts w:eastAsia="Calibri"/>
          <w:lang w:val="en-GB"/>
        </w:rPr>
        <w:t>”</w:t>
      </w:r>
    </w:p>
    <w:p w14:paraId="4E3DF5AC" w14:textId="56892CD3" w:rsidR="00E15F7F" w:rsidRPr="00C62566" w:rsidRDefault="00E15F7F" w:rsidP="00B303AA">
      <w:pPr>
        <w:pStyle w:val="BodyText"/>
        <w:spacing w:before="3"/>
        <w:ind w:right="38" w:firstLine="542"/>
        <w:jc w:val="both"/>
        <w:rPr>
          <w:rFonts w:eastAsia="Calibri"/>
          <w:lang w:val="en-GB"/>
        </w:rPr>
      </w:pPr>
      <w:r w:rsidRPr="00C62566">
        <w:rPr>
          <w:rFonts w:eastAsia="Calibri"/>
          <w:lang w:val="en-GB"/>
        </w:rPr>
        <w:t>Along with its relevance to the problem-posing, the excerpt also reinforces the connection between CP and the latest Indonesian curriculum</w:t>
      </w:r>
      <w:r w:rsidR="001B0070">
        <w:rPr>
          <w:rFonts w:eastAsia="Calibri"/>
          <w:lang w:val="en-GB"/>
        </w:rPr>
        <w:t xml:space="preserve"> policy</w:t>
      </w:r>
      <w:r w:rsidRPr="00C62566">
        <w:rPr>
          <w:rFonts w:eastAsia="Calibri"/>
          <w:lang w:val="en-GB"/>
        </w:rPr>
        <w:t xml:space="preserve">, </w:t>
      </w:r>
      <w:r w:rsidRPr="001B0070">
        <w:rPr>
          <w:rFonts w:eastAsia="Calibri"/>
          <w:i/>
          <w:iCs/>
          <w:lang w:val="en-GB"/>
        </w:rPr>
        <w:t>Merdeka Belajar</w:t>
      </w:r>
      <w:r w:rsidRPr="00C62566">
        <w:rPr>
          <w:rFonts w:eastAsia="Calibri"/>
          <w:lang w:val="en-GB"/>
        </w:rPr>
        <w:t xml:space="preserve"> (Emancipated Learning), especially the differentiated learning concept (Prahani et al. 2020).</w:t>
      </w:r>
    </w:p>
    <w:p w14:paraId="33D8CE89" w14:textId="77777777" w:rsidR="00E15F7F" w:rsidRPr="00C62566" w:rsidRDefault="00E15F7F" w:rsidP="00B303AA">
      <w:pPr>
        <w:pStyle w:val="BodyText"/>
        <w:spacing w:before="3"/>
        <w:ind w:right="38" w:firstLine="542"/>
        <w:jc w:val="both"/>
        <w:rPr>
          <w:rFonts w:eastAsia="Calibri"/>
          <w:lang w:val="en-GB"/>
        </w:rPr>
      </w:pPr>
      <w:r w:rsidRPr="00C62566">
        <w:rPr>
          <w:rFonts w:eastAsia="Calibri"/>
          <w:lang w:val="en-GB"/>
        </w:rPr>
        <w:t>In addition to dialogue and problem-posing, conscientization as another CP principle is notably represented during the interview. One participant teaching EFL in university, PU1, stated:</w:t>
      </w:r>
    </w:p>
    <w:p w14:paraId="190B8065" w14:textId="38FF0484" w:rsidR="00E15F7F" w:rsidRPr="004306E2" w:rsidRDefault="00E15F7F" w:rsidP="00E15F7F">
      <w:pPr>
        <w:pStyle w:val="BodyText"/>
        <w:spacing w:before="3"/>
        <w:ind w:left="720" w:right="38" w:hanging="78"/>
        <w:jc w:val="both"/>
        <w:rPr>
          <w:rFonts w:eastAsia="Calibri"/>
          <w:lang w:val="en-GB"/>
        </w:rPr>
      </w:pPr>
      <w:r>
        <w:rPr>
          <w:rFonts w:eastAsia="Calibri"/>
          <w:lang w:val="en-GB"/>
        </w:rPr>
        <w:t>“</w:t>
      </w:r>
      <w:r w:rsidR="006561D6" w:rsidRPr="0075593E">
        <w:rPr>
          <w:i/>
          <w:iCs/>
        </w:rPr>
        <w:t xml:space="preserve">Apa yang kita bicarakan, diskusikan, coba pecahkan </w:t>
      </w:r>
      <w:r w:rsidR="006561D6">
        <w:rPr>
          <w:i/>
          <w:iCs/>
        </w:rPr>
        <w:t>b</w:t>
      </w:r>
      <w:r w:rsidR="006561D6" w:rsidRPr="0075593E">
        <w:rPr>
          <w:i/>
          <w:iCs/>
        </w:rPr>
        <w:t>ersama di kelas diharapkan bisa memberikan kontribusi untuk masyarakat</w:t>
      </w:r>
      <w:r w:rsidR="006561D6" w:rsidRPr="00141103">
        <w:t xml:space="preserve"> </w:t>
      </w:r>
      <w:r w:rsidR="006561D6">
        <w:lastRenderedPageBreak/>
        <w:t>(</w:t>
      </w:r>
      <w:r>
        <w:rPr>
          <w:rFonts w:eastAsia="Calibri"/>
          <w:lang w:val="en-GB"/>
        </w:rPr>
        <w:t>W</w:t>
      </w:r>
      <w:r w:rsidRPr="004306E2">
        <w:rPr>
          <w:rFonts w:eastAsia="Calibri"/>
          <w:lang w:val="en-GB"/>
        </w:rPr>
        <w:t>hatever said, discussed, and tried to solve in the classroom is expected to give contribution to wider community</w:t>
      </w:r>
      <w:r w:rsidR="006561D6">
        <w:rPr>
          <w:rFonts w:eastAsia="Calibri"/>
          <w:lang w:val="en-GB"/>
        </w:rPr>
        <w:t>)</w:t>
      </w:r>
      <w:r w:rsidRPr="004306E2">
        <w:rPr>
          <w:rFonts w:eastAsia="Calibri"/>
          <w:lang w:val="en-GB"/>
        </w:rPr>
        <w:t>.</w:t>
      </w:r>
      <w:r>
        <w:rPr>
          <w:rFonts w:eastAsia="Calibri"/>
          <w:lang w:val="en-GB"/>
        </w:rPr>
        <w:t>”</w:t>
      </w:r>
    </w:p>
    <w:p w14:paraId="17C98424" w14:textId="35028379" w:rsidR="00E15F7F" w:rsidRDefault="00E15F7F" w:rsidP="00B303AA">
      <w:pPr>
        <w:pStyle w:val="BodyText"/>
        <w:spacing w:before="3"/>
        <w:ind w:right="38" w:firstLine="542"/>
        <w:jc w:val="both"/>
        <w:rPr>
          <w:rFonts w:eastAsia="Calibri"/>
          <w:lang w:val="en-GB"/>
        </w:rPr>
      </w:pPr>
      <w:r w:rsidRPr="00C62566">
        <w:rPr>
          <w:rFonts w:eastAsia="Calibri"/>
          <w:lang w:val="en-GB"/>
        </w:rPr>
        <w:t>This means that the interviewee is aware of and open to the principle of conscientization or critical consciousness as the participant explicitly stated that eventually the purpose of every executed classroom activity should be able to be utilized by both learners and educator in bettering their lives and surrounding situations (Giroux, 1997; McLaren, 2003).</w:t>
      </w:r>
    </w:p>
    <w:p w14:paraId="0D32C36B" w14:textId="67898BA4" w:rsidR="002E4353" w:rsidRDefault="002E4353" w:rsidP="00B303AA">
      <w:pPr>
        <w:pStyle w:val="BodyText"/>
        <w:spacing w:before="3"/>
        <w:ind w:right="38" w:firstLine="542"/>
        <w:jc w:val="both"/>
        <w:rPr>
          <w:rFonts w:eastAsia="Calibri"/>
          <w:lang w:val="en-GB"/>
        </w:rPr>
      </w:pPr>
      <w:r w:rsidRPr="00C62566">
        <w:rPr>
          <w:rFonts w:eastAsia="Calibri"/>
          <w:lang w:val="en-GB"/>
        </w:rPr>
        <w:t>When being compared among the belief questionnaire items, it is notable that there is one item for each principle that gains the highest mean score.  It is evident that the most likeable CP principle, especially seen from the participants’ beliefs</w:t>
      </w:r>
      <w:r w:rsidR="001B0070">
        <w:rPr>
          <w:rFonts w:eastAsia="Calibri"/>
          <w:lang w:val="en-GB"/>
        </w:rPr>
        <w:t>,</w:t>
      </w:r>
      <w:r w:rsidRPr="00C62566">
        <w:rPr>
          <w:rFonts w:eastAsia="Calibri"/>
          <w:lang w:val="en-GB"/>
        </w:rPr>
        <w:t xml:space="preserve"> is dialogue. Among the items representing the principle of dialogue, the item "Learning is a social process and takes places as a social interaction.” has the highest mean score that is 4.67. The following Table 2 displays the belief questionnaire items that gain the highest mean score for each CP principle. </w:t>
      </w:r>
    </w:p>
    <w:p w14:paraId="419BB734" w14:textId="77777777" w:rsidR="002E4353" w:rsidRPr="00C62566" w:rsidRDefault="002E4353" w:rsidP="002E4353">
      <w:pPr>
        <w:pStyle w:val="Tabel"/>
        <w:rPr>
          <w:rFonts w:ascii="Times New Roman" w:hAnsi="Times New Roman" w:cs="Times New Roman"/>
          <w:sz w:val="24"/>
          <w:szCs w:val="24"/>
        </w:rPr>
      </w:pPr>
      <w:bookmarkStart w:id="0" w:name="_Hlk156585850"/>
      <w:r w:rsidRPr="00CE2B9B">
        <w:rPr>
          <w:rFonts w:ascii="Times New Roman" w:hAnsi="Times New Roman" w:cs="Times New Roman"/>
          <w:color w:val="auto"/>
          <w:sz w:val="24"/>
          <w:szCs w:val="24"/>
        </w:rPr>
        <w:t xml:space="preserve">Table 2 </w:t>
      </w:r>
      <w:r w:rsidRPr="00CE2B9B">
        <w:rPr>
          <w:rFonts w:ascii="Times New Roman" w:hAnsi="Times New Roman" w:cs="Times New Roman"/>
          <w:b w:val="0"/>
          <w:bCs/>
          <w:i/>
          <w:iCs/>
          <w:color w:val="auto"/>
          <w:sz w:val="24"/>
          <w:szCs w:val="24"/>
        </w:rPr>
        <w:t>Beliefs on CP Principles</w:t>
      </w:r>
    </w:p>
    <w:tbl>
      <w:tblPr>
        <w:tblW w:w="3330" w:type="dxa"/>
        <w:tblInd w:w="113" w:type="dxa"/>
        <w:tblBorders>
          <w:top w:val="single" w:sz="18" w:space="0" w:color="002060"/>
          <w:bottom w:val="single" w:sz="18" w:space="0" w:color="002060"/>
          <w:insideH w:val="single" w:sz="8" w:space="0" w:color="002060"/>
        </w:tblBorders>
        <w:tblLayout w:type="fixed"/>
        <w:tblCellMar>
          <w:top w:w="28" w:type="dxa"/>
          <w:left w:w="113" w:type="dxa"/>
          <w:bottom w:w="28" w:type="dxa"/>
        </w:tblCellMar>
        <w:tblLook w:val="04A0" w:firstRow="1" w:lastRow="0" w:firstColumn="1" w:lastColumn="0" w:noHBand="0" w:noVBand="1"/>
      </w:tblPr>
      <w:tblGrid>
        <w:gridCol w:w="2430"/>
        <w:gridCol w:w="900"/>
      </w:tblGrid>
      <w:tr w:rsidR="00E5769B" w:rsidRPr="00C62566" w14:paraId="3B6C1B99" w14:textId="77777777" w:rsidTr="00E5769B">
        <w:trPr>
          <w:cantSplit/>
        </w:trPr>
        <w:tc>
          <w:tcPr>
            <w:tcW w:w="2430" w:type="dxa"/>
            <w:shd w:val="clear" w:color="auto" w:fill="auto"/>
            <w:vAlign w:val="center"/>
          </w:tcPr>
          <w:p w14:paraId="0DD02919" w14:textId="77777777" w:rsidR="00E5769B" w:rsidRPr="00CE2B9B" w:rsidRDefault="00E5769B" w:rsidP="005F731D">
            <w:pPr>
              <w:rPr>
                <w:b/>
                <w:sz w:val="20"/>
                <w:szCs w:val="20"/>
              </w:rPr>
            </w:pPr>
            <w:r w:rsidRPr="00CE2B9B">
              <w:rPr>
                <w:b/>
                <w:sz w:val="20"/>
                <w:szCs w:val="20"/>
              </w:rPr>
              <w:t>Principle</w:t>
            </w:r>
          </w:p>
        </w:tc>
        <w:tc>
          <w:tcPr>
            <w:tcW w:w="900" w:type="dxa"/>
          </w:tcPr>
          <w:p w14:paraId="01913A09" w14:textId="77777777" w:rsidR="00E5769B" w:rsidRPr="00CE2B9B" w:rsidRDefault="00E5769B" w:rsidP="005F731D">
            <w:pPr>
              <w:rPr>
                <w:b/>
                <w:sz w:val="20"/>
                <w:szCs w:val="20"/>
              </w:rPr>
            </w:pPr>
            <w:r w:rsidRPr="00CE2B9B">
              <w:rPr>
                <w:b/>
                <w:sz w:val="20"/>
                <w:szCs w:val="20"/>
              </w:rPr>
              <w:t>Score</w:t>
            </w:r>
          </w:p>
        </w:tc>
      </w:tr>
      <w:tr w:rsidR="00E5769B" w:rsidRPr="00C62566" w14:paraId="150A3568" w14:textId="77777777" w:rsidTr="00E5769B">
        <w:trPr>
          <w:cantSplit/>
        </w:trPr>
        <w:tc>
          <w:tcPr>
            <w:tcW w:w="2430" w:type="dxa"/>
            <w:tcBorders>
              <w:bottom w:val="nil"/>
            </w:tcBorders>
            <w:shd w:val="clear" w:color="auto" w:fill="auto"/>
            <w:vAlign w:val="center"/>
          </w:tcPr>
          <w:p w14:paraId="3D6B9C7E" w14:textId="77777777" w:rsidR="00E5769B" w:rsidRPr="00CE2B9B" w:rsidRDefault="00E5769B" w:rsidP="005F731D">
            <w:pPr>
              <w:rPr>
                <w:sz w:val="20"/>
                <w:szCs w:val="20"/>
                <w:vertAlign w:val="superscript"/>
              </w:rPr>
            </w:pPr>
            <w:r w:rsidRPr="00CE2B9B">
              <w:rPr>
                <w:sz w:val="20"/>
                <w:szCs w:val="20"/>
              </w:rPr>
              <w:t>Dialogue</w:t>
            </w:r>
          </w:p>
        </w:tc>
        <w:tc>
          <w:tcPr>
            <w:tcW w:w="900" w:type="dxa"/>
            <w:tcBorders>
              <w:bottom w:val="nil"/>
            </w:tcBorders>
            <w:vAlign w:val="bottom"/>
          </w:tcPr>
          <w:p w14:paraId="39EEB107" w14:textId="77777777" w:rsidR="00E5769B" w:rsidRPr="00CE2B9B" w:rsidRDefault="00E5769B" w:rsidP="005F731D">
            <w:pPr>
              <w:rPr>
                <w:sz w:val="20"/>
                <w:szCs w:val="20"/>
              </w:rPr>
            </w:pPr>
            <w:r w:rsidRPr="00CE2B9B">
              <w:rPr>
                <w:sz w:val="20"/>
                <w:szCs w:val="20"/>
              </w:rPr>
              <w:t>4.67</w:t>
            </w:r>
          </w:p>
        </w:tc>
      </w:tr>
      <w:tr w:rsidR="00E5769B" w:rsidRPr="00C62566" w14:paraId="688B66AB" w14:textId="77777777" w:rsidTr="00E5769B">
        <w:trPr>
          <w:cantSplit/>
        </w:trPr>
        <w:tc>
          <w:tcPr>
            <w:tcW w:w="2430" w:type="dxa"/>
            <w:tcBorders>
              <w:top w:val="nil"/>
              <w:bottom w:val="nil"/>
            </w:tcBorders>
            <w:shd w:val="clear" w:color="auto" w:fill="auto"/>
            <w:vAlign w:val="center"/>
          </w:tcPr>
          <w:p w14:paraId="43AFA4C8" w14:textId="77777777" w:rsidR="00E5769B" w:rsidRPr="00CE2B9B" w:rsidRDefault="00E5769B" w:rsidP="005F731D">
            <w:pPr>
              <w:rPr>
                <w:sz w:val="20"/>
                <w:szCs w:val="20"/>
              </w:rPr>
            </w:pPr>
            <w:r w:rsidRPr="00CE2B9B">
              <w:rPr>
                <w:sz w:val="20"/>
                <w:szCs w:val="20"/>
              </w:rPr>
              <w:t>Problem-posing</w:t>
            </w:r>
          </w:p>
        </w:tc>
        <w:tc>
          <w:tcPr>
            <w:tcW w:w="900" w:type="dxa"/>
            <w:tcBorders>
              <w:top w:val="nil"/>
              <w:bottom w:val="nil"/>
            </w:tcBorders>
            <w:vAlign w:val="bottom"/>
          </w:tcPr>
          <w:p w14:paraId="025741FE" w14:textId="77777777" w:rsidR="00E5769B" w:rsidRPr="00CE2B9B" w:rsidRDefault="00E5769B" w:rsidP="005F731D">
            <w:pPr>
              <w:rPr>
                <w:sz w:val="20"/>
                <w:szCs w:val="20"/>
              </w:rPr>
            </w:pPr>
            <w:r w:rsidRPr="00CE2B9B">
              <w:rPr>
                <w:sz w:val="20"/>
                <w:szCs w:val="20"/>
              </w:rPr>
              <w:t>4.53</w:t>
            </w:r>
          </w:p>
        </w:tc>
      </w:tr>
      <w:tr w:rsidR="00E5769B" w:rsidRPr="00C62566" w14:paraId="501EFE08" w14:textId="77777777" w:rsidTr="00E5769B">
        <w:trPr>
          <w:cantSplit/>
        </w:trPr>
        <w:tc>
          <w:tcPr>
            <w:tcW w:w="2430" w:type="dxa"/>
            <w:tcBorders>
              <w:top w:val="nil"/>
              <w:bottom w:val="nil"/>
            </w:tcBorders>
            <w:shd w:val="clear" w:color="auto" w:fill="auto"/>
            <w:vAlign w:val="center"/>
          </w:tcPr>
          <w:p w14:paraId="46EE8D35" w14:textId="77777777" w:rsidR="00E5769B" w:rsidRPr="00CE2B9B" w:rsidRDefault="00E5769B" w:rsidP="005F731D">
            <w:pPr>
              <w:rPr>
                <w:sz w:val="20"/>
                <w:szCs w:val="20"/>
              </w:rPr>
            </w:pPr>
            <w:r w:rsidRPr="00CE2B9B">
              <w:rPr>
                <w:sz w:val="20"/>
                <w:szCs w:val="20"/>
              </w:rPr>
              <w:t>Praxis</w:t>
            </w:r>
          </w:p>
        </w:tc>
        <w:tc>
          <w:tcPr>
            <w:tcW w:w="900" w:type="dxa"/>
            <w:tcBorders>
              <w:top w:val="nil"/>
              <w:bottom w:val="nil"/>
            </w:tcBorders>
            <w:vAlign w:val="bottom"/>
          </w:tcPr>
          <w:p w14:paraId="0ABB57AB" w14:textId="77777777" w:rsidR="00E5769B" w:rsidRPr="00CE2B9B" w:rsidRDefault="00E5769B" w:rsidP="005F731D">
            <w:pPr>
              <w:rPr>
                <w:sz w:val="20"/>
                <w:szCs w:val="20"/>
              </w:rPr>
            </w:pPr>
            <w:r w:rsidRPr="00CE2B9B">
              <w:rPr>
                <w:sz w:val="20"/>
                <w:szCs w:val="20"/>
              </w:rPr>
              <w:t>4.30</w:t>
            </w:r>
          </w:p>
        </w:tc>
      </w:tr>
      <w:tr w:rsidR="00E5769B" w:rsidRPr="00C62566" w14:paraId="48A1F69F" w14:textId="77777777" w:rsidTr="00E5769B">
        <w:trPr>
          <w:cantSplit/>
        </w:trPr>
        <w:tc>
          <w:tcPr>
            <w:tcW w:w="2430" w:type="dxa"/>
            <w:tcBorders>
              <w:top w:val="nil"/>
            </w:tcBorders>
            <w:shd w:val="clear" w:color="auto" w:fill="auto"/>
            <w:vAlign w:val="center"/>
          </w:tcPr>
          <w:p w14:paraId="50045A9D" w14:textId="77777777" w:rsidR="00E5769B" w:rsidRPr="00CE2B9B" w:rsidRDefault="00E5769B" w:rsidP="005F731D">
            <w:pPr>
              <w:rPr>
                <w:sz w:val="20"/>
                <w:szCs w:val="20"/>
              </w:rPr>
            </w:pPr>
            <w:r w:rsidRPr="00CE2B9B">
              <w:rPr>
                <w:sz w:val="20"/>
                <w:szCs w:val="20"/>
              </w:rPr>
              <w:t>Conscientization</w:t>
            </w:r>
          </w:p>
        </w:tc>
        <w:tc>
          <w:tcPr>
            <w:tcW w:w="900" w:type="dxa"/>
            <w:tcBorders>
              <w:top w:val="nil"/>
            </w:tcBorders>
            <w:vAlign w:val="bottom"/>
          </w:tcPr>
          <w:p w14:paraId="0CB2F65D" w14:textId="77777777" w:rsidR="00E5769B" w:rsidRPr="00CE2B9B" w:rsidRDefault="00E5769B" w:rsidP="005F731D">
            <w:pPr>
              <w:rPr>
                <w:sz w:val="20"/>
                <w:szCs w:val="20"/>
              </w:rPr>
            </w:pPr>
            <w:r w:rsidRPr="00CE2B9B">
              <w:rPr>
                <w:sz w:val="20"/>
                <w:szCs w:val="20"/>
              </w:rPr>
              <w:t>4.10</w:t>
            </w:r>
          </w:p>
        </w:tc>
      </w:tr>
    </w:tbl>
    <w:bookmarkEnd w:id="0"/>
    <w:p w14:paraId="2AF801DB" w14:textId="22BF0F7C" w:rsidR="002E4353" w:rsidRPr="00C62566" w:rsidRDefault="002E4353" w:rsidP="004960F7">
      <w:pPr>
        <w:pStyle w:val="BodyText"/>
        <w:spacing w:before="3"/>
        <w:ind w:right="38" w:firstLine="542"/>
        <w:jc w:val="both"/>
        <w:rPr>
          <w:rFonts w:eastAsia="Calibri"/>
          <w:lang w:val="en-GB"/>
        </w:rPr>
      </w:pPr>
      <w:r w:rsidRPr="00C62566">
        <w:rPr>
          <w:rFonts w:eastAsia="Calibri"/>
          <w:lang w:val="en-GB"/>
        </w:rPr>
        <w:t>From the data displayed in the table above, it can be seen that, after dialogue, the most likeable CP principles is problem-posing, praxis, and conscientization. It is understandable that conscientization is the least likable CP principle among the four for not all the participating teachers can see the correlation between the English subject and the social wellbeing as indicated in the following excerpt stated by PJ1:</w:t>
      </w:r>
    </w:p>
    <w:p w14:paraId="59D5ADBB" w14:textId="2A29F016" w:rsidR="002E4353" w:rsidRPr="00CE2B9B" w:rsidRDefault="002E4353" w:rsidP="002E4353">
      <w:pPr>
        <w:pStyle w:val="BodyText"/>
        <w:spacing w:before="3"/>
        <w:ind w:left="720" w:right="38" w:hanging="78"/>
        <w:jc w:val="both"/>
        <w:rPr>
          <w:rFonts w:eastAsia="Calibri"/>
          <w:lang w:val="en-GB"/>
        </w:rPr>
      </w:pPr>
      <w:r>
        <w:rPr>
          <w:rFonts w:eastAsia="Calibri"/>
          <w:lang w:val="en-GB"/>
        </w:rPr>
        <w:t>“</w:t>
      </w:r>
      <w:r w:rsidR="006561D6" w:rsidRPr="001761C7">
        <w:rPr>
          <w:i/>
          <w:iCs/>
        </w:rPr>
        <w:t>Saya hanya menerangkan apa yang saya pahami untuk kemudian itu memperbaiki atau tidak itu kembali ke merek</w:t>
      </w:r>
      <w:r w:rsidR="006561D6">
        <w:rPr>
          <w:i/>
          <w:iCs/>
        </w:rPr>
        <w:t>a</w:t>
      </w:r>
      <w:r w:rsidR="006561D6" w:rsidRPr="00141103">
        <w:t xml:space="preserve"> </w:t>
      </w:r>
      <w:r w:rsidR="006561D6">
        <w:t>(</w:t>
      </w:r>
      <w:r w:rsidRPr="00CE2B9B">
        <w:rPr>
          <w:rFonts w:eastAsia="Calibri"/>
          <w:lang w:val="en-GB"/>
        </w:rPr>
        <w:t>I just teach what I understand. It is totally in their hands whether they will use it to better their lives or not. It depends on students themselves</w:t>
      </w:r>
      <w:r w:rsidR="006561D6">
        <w:rPr>
          <w:rFonts w:eastAsia="Calibri"/>
          <w:lang w:val="en-GB"/>
        </w:rPr>
        <w:t>)</w:t>
      </w:r>
      <w:r w:rsidRPr="00CE2B9B">
        <w:rPr>
          <w:rFonts w:eastAsia="Calibri"/>
          <w:lang w:val="en-GB"/>
        </w:rPr>
        <w:t>.</w:t>
      </w:r>
      <w:r>
        <w:rPr>
          <w:rFonts w:eastAsia="Calibri"/>
          <w:lang w:val="en-GB"/>
        </w:rPr>
        <w:t>”</w:t>
      </w:r>
    </w:p>
    <w:p w14:paraId="539F1255" w14:textId="77777777" w:rsidR="002E4353" w:rsidRPr="00C62566" w:rsidRDefault="002E4353" w:rsidP="004960F7">
      <w:pPr>
        <w:pStyle w:val="BodyText"/>
        <w:spacing w:before="3"/>
        <w:ind w:right="38" w:firstLine="642"/>
        <w:jc w:val="both"/>
        <w:rPr>
          <w:rFonts w:eastAsia="Calibri"/>
          <w:lang w:val="en-GB"/>
        </w:rPr>
      </w:pPr>
      <w:r w:rsidRPr="00C62566">
        <w:rPr>
          <w:rFonts w:eastAsia="Calibri"/>
          <w:lang w:val="en-GB"/>
        </w:rPr>
        <w:t xml:space="preserve">The previous excerpt may represent the everyday practice that possibly reflects the participant’s slight disagreement upon the conscientization principle since he does not directly aim his teaching practice to transform his students’ lives nor to encourage his students to utilize the competence acquired inside the classroom to better their social conditions (McLaren, 2003). However, the more detailed elaboration of the participants’ practices regarding the integration of CP principles in the EFL classrooms is delineated in the upcoming section.  </w:t>
      </w:r>
    </w:p>
    <w:p w14:paraId="712ED1BD" w14:textId="70A49384" w:rsidR="002E4353" w:rsidRPr="002E4353" w:rsidRDefault="00F10680" w:rsidP="00B303AA">
      <w:pPr>
        <w:spacing w:line="275" w:lineRule="exact"/>
        <w:rPr>
          <w:b/>
          <w:i/>
          <w:sz w:val="24"/>
        </w:rPr>
      </w:pPr>
      <w:r>
        <w:rPr>
          <w:b/>
          <w:i/>
          <w:sz w:val="24"/>
        </w:rPr>
        <w:t>Practice</w:t>
      </w:r>
      <w:r w:rsidR="002E4353" w:rsidRPr="002E4353">
        <w:rPr>
          <w:b/>
          <w:i/>
          <w:sz w:val="24"/>
        </w:rPr>
        <w:t>s</w:t>
      </w:r>
    </w:p>
    <w:p w14:paraId="7CFFC23B" w14:textId="3916E47F" w:rsidR="002E4353" w:rsidRDefault="00E5769B" w:rsidP="00B303AA">
      <w:pPr>
        <w:pStyle w:val="BodyText"/>
        <w:spacing w:before="3"/>
        <w:ind w:right="38"/>
        <w:jc w:val="both"/>
        <w:rPr>
          <w:rFonts w:eastAsia="Calibri"/>
          <w:lang w:val="en-GB"/>
        </w:rPr>
      </w:pPr>
      <w:r w:rsidRPr="00C62566">
        <w:rPr>
          <w:rFonts w:eastAsia="Calibri"/>
          <w:lang w:val="en-GB"/>
        </w:rPr>
        <w:t>As it is demonstrated in the Table 1, the mean score for practice is lower (4.11) than the mean score for belief (4.21). It can be inferred that the participating teachers are having positive beliefs regarding CP principles yet do not fully implement them in their actual daily teaching practices due to several reasons. The finding is parallel with what has been discovered by Raddawi &amp; Troudi, (2018), Kavenuke &amp; Muthanna (2021), and Santoso &amp; Christianti (2021) in their research.</w:t>
      </w:r>
      <w:r w:rsidR="001B0070">
        <w:rPr>
          <w:rFonts w:eastAsia="Calibri"/>
          <w:lang w:val="en-GB"/>
        </w:rPr>
        <w:t xml:space="preserve"> Those researchers found that, generally, EFL teachers are in favour with CP principles but do not apply those </w:t>
      </w:r>
      <w:r w:rsidR="004A44C8">
        <w:rPr>
          <w:rFonts w:eastAsia="Calibri"/>
          <w:lang w:val="en-GB"/>
        </w:rPr>
        <w:t xml:space="preserve">completely </w:t>
      </w:r>
      <w:r w:rsidR="001B0070">
        <w:rPr>
          <w:rFonts w:eastAsia="Calibri"/>
          <w:lang w:val="en-GB"/>
        </w:rPr>
        <w:t>in their classrooms.</w:t>
      </w:r>
    </w:p>
    <w:p w14:paraId="01E14C06" w14:textId="10EBEE26" w:rsidR="00E5769B" w:rsidRPr="00C62566" w:rsidRDefault="00E5769B" w:rsidP="00B303AA">
      <w:pPr>
        <w:pStyle w:val="BodyText"/>
        <w:spacing w:before="3"/>
        <w:ind w:right="38" w:firstLine="542"/>
        <w:jc w:val="both"/>
        <w:rPr>
          <w:rFonts w:eastAsia="Calibri"/>
          <w:lang w:val="en-GB"/>
        </w:rPr>
      </w:pPr>
      <w:r w:rsidRPr="00C62566">
        <w:rPr>
          <w:rFonts w:eastAsia="Calibri"/>
          <w:lang w:val="en-GB"/>
        </w:rPr>
        <w:t>Additionally, it can be concluded from the questionnaire data displayed in the Table 1 that participants teaching in higher education institutions implement CP principles in their classroom practices more than those who teach in junior high schools and senior high schools. Th</w:t>
      </w:r>
      <w:r w:rsidR="001B0070">
        <w:rPr>
          <w:rFonts w:eastAsia="Calibri"/>
          <w:lang w:val="en-GB"/>
        </w:rPr>
        <w:t>i</w:t>
      </w:r>
      <w:r w:rsidRPr="00C62566">
        <w:rPr>
          <w:rFonts w:eastAsia="Calibri"/>
          <w:lang w:val="en-GB"/>
        </w:rPr>
        <w:t>s is also strengthened by the statement occurred during the interview with PU2, one of the participants teaching in one of universities in West Sumatra and holds doctoral degree:</w:t>
      </w:r>
    </w:p>
    <w:p w14:paraId="174D1B8D" w14:textId="194B2879" w:rsidR="00E5769B" w:rsidRPr="00C62566" w:rsidRDefault="00E5769B" w:rsidP="00E5769B">
      <w:pPr>
        <w:pStyle w:val="ISI"/>
        <w:ind w:left="990" w:right="44" w:firstLine="0"/>
        <w:rPr>
          <w:rFonts w:ascii="Times New Roman" w:eastAsia="Calibri" w:hAnsi="Times New Roman"/>
          <w:i/>
          <w:iCs/>
          <w:sz w:val="24"/>
          <w:lang w:val="en-GB"/>
        </w:rPr>
      </w:pPr>
      <w:r>
        <w:rPr>
          <w:rFonts w:ascii="Times New Roman" w:eastAsia="Calibri" w:hAnsi="Times New Roman"/>
          <w:spacing w:val="0"/>
          <w:sz w:val="24"/>
          <w:lang w:val="en-GB"/>
        </w:rPr>
        <w:t>“</w:t>
      </w:r>
      <w:r w:rsidR="006561D6" w:rsidRPr="00001451">
        <w:rPr>
          <w:rFonts w:ascii="Times New Roman" w:hAnsi="Times New Roman"/>
          <w:i/>
          <w:iCs/>
          <w:sz w:val="24"/>
        </w:rPr>
        <w:t xml:space="preserve">Pelan-pelan memang saya mencoba mengajak mereka untuk, awalnya kita hanya membahas isu sederhana, yang memang lagi burning issue, kemudian mulai menghadirkan isu-isu debatable yang diharapkan bisa memberikan kontribusi pemecahan masalah untuk pemerintah atau pembuat kebijakan </w:t>
      </w:r>
      <w:r w:rsidR="006561D6">
        <w:rPr>
          <w:rFonts w:ascii="Times New Roman" w:hAnsi="Times New Roman"/>
          <w:sz w:val="24"/>
        </w:rPr>
        <w:t>(</w:t>
      </w:r>
      <w:r w:rsidRPr="00E5769B">
        <w:rPr>
          <w:rFonts w:ascii="Times New Roman" w:eastAsia="Calibri" w:hAnsi="Times New Roman"/>
          <w:spacing w:val="0"/>
          <w:sz w:val="24"/>
          <w:lang w:val="en-GB"/>
        </w:rPr>
        <w:t xml:space="preserve">Slowly, I tried to encourage them to discuss the </w:t>
      </w:r>
      <w:r w:rsidRPr="00E5769B">
        <w:rPr>
          <w:rFonts w:ascii="Times New Roman" w:eastAsia="Calibri" w:hAnsi="Times New Roman"/>
          <w:spacing w:val="0"/>
          <w:sz w:val="24"/>
          <w:lang w:val="en-GB"/>
        </w:rPr>
        <w:lastRenderedPageBreak/>
        <w:t>common burning issues, and then started presenting the more debatable issues which, eventually, it is expected that they can come up with proposed solutions for government or policy makers</w:t>
      </w:r>
      <w:r w:rsidR="006561D6">
        <w:rPr>
          <w:rFonts w:ascii="Times New Roman" w:eastAsia="Calibri" w:hAnsi="Times New Roman"/>
          <w:spacing w:val="0"/>
          <w:sz w:val="24"/>
          <w:lang w:val="en-GB"/>
        </w:rPr>
        <w:t>)</w:t>
      </w:r>
      <w:r w:rsidRPr="00C62566">
        <w:rPr>
          <w:rFonts w:ascii="Times New Roman" w:eastAsia="Calibri" w:hAnsi="Times New Roman"/>
          <w:i/>
          <w:iCs/>
          <w:sz w:val="24"/>
          <w:lang w:val="en-GB"/>
        </w:rPr>
        <w:t>.</w:t>
      </w:r>
      <w:r>
        <w:rPr>
          <w:rFonts w:ascii="Times New Roman" w:eastAsia="Calibri" w:hAnsi="Times New Roman"/>
          <w:i/>
          <w:iCs/>
          <w:sz w:val="24"/>
          <w:lang w:val="en-GB"/>
        </w:rPr>
        <w:t>”</w:t>
      </w:r>
    </w:p>
    <w:p w14:paraId="6FFC8EAD" w14:textId="3DA60761" w:rsidR="00E5769B" w:rsidRDefault="00E5769B" w:rsidP="00B303AA">
      <w:pPr>
        <w:pStyle w:val="BodyText"/>
        <w:spacing w:before="3"/>
        <w:ind w:right="38" w:firstLine="542"/>
        <w:jc w:val="both"/>
        <w:rPr>
          <w:rFonts w:eastAsia="Calibri"/>
          <w:lang w:val="en-GB"/>
        </w:rPr>
      </w:pPr>
      <w:r w:rsidRPr="00C62566">
        <w:rPr>
          <w:rFonts w:eastAsia="Calibri"/>
          <w:lang w:val="en-GB"/>
        </w:rPr>
        <w:t>The finding is in line with the research findings uncovered by Mahmoodabari &amp; Khodabakhsh (2015</w:t>
      </w:r>
      <w:r w:rsidR="006561D6">
        <w:rPr>
          <w:rFonts w:eastAsia="Calibri"/>
          <w:lang w:val="en-GB"/>
        </w:rPr>
        <w:t>: 106</w:t>
      </w:r>
      <w:r w:rsidRPr="00C62566">
        <w:rPr>
          <w:rFonts w:eastAsia="Calibri"/>
          <w:lang w:val="en-GB"/>
        </w:rPr>
        <w:t>) that mentions, teachers with more advance educations background are more “aware of principles and practices of critical language pedagogy.”</w:t>
      </w:r>
    </w:p>
    <w:p w14:paraId="2DA4D0F5" w14:textId="77777777" w:rsidR="00E5769B" w:rsidRPr="00C62566" w:rsidRDefault="00E5769B" w:rsidP="00B303AA">
      <w:pPr>
        <w:pStyle w:val="BodyText"/>
        <w:spacing w:before="3"/>
        <w:ind w:right="38" w:firstLine="542"/>
        <w:jc w:val="both"/>
        <w:rPr>
          <w:rFonts w:eastAsia="Calibri"/>
          <w:lang w:val="en-GB"/>
        </w:rPr>
      </w:pPr>
      <w:r w:rsidRPr="00C62566">
        <w:rPr>
          <w:rFonts w:eastAsia="Calibri"/>
          <w:lang w:val="en-GB"/>
        </w:rPr>
        <w:t>Different from the belief questionnaire items, when being compared among the four CP principles, Problem-posing has the highest mean score in practice questionnaire items. The upcoming Table 3 shows the practice questionnaire items that have the highest mean score for each CP principle.</w:t>
      </w:r>
    </w:p>
    <w:p w14:paraId="0A8A9C9B" w14:textId="77777777" w:rsidR="00E5769B" w:rsidRPr="00611C64" w:rsidRDefault="00E5769B" w:rsidP="00E5769B">
      <w:pPr>
        <w:pStyle w:val="Tabel"/>
        <w:rPr>
          <w:rFonts w:ascii="Times New Roman" w:hAnsi="Times New Roman" w:cs="Times New Roman"/>
          <w:color w:val="auto"/>
          <w:sz w:val="24"/>
          <w:szCs w:val="24"/>
        </w:rPr>
      </w:pPr>
      <w:r w:rsidRPr="00611C64">
        <w:rPr>
          <w:rFonts w:ascii="Times New Roman" w:hAnsi="Times New Roman" w:cs="Times New Roman"/>
          <w:color w:val="auto"/>
          <w:sz w:val="24"/>
          <w:szCs w:val="24"/>
        </w:rPr>
        <w:t xml:space="preserve">Table 3 </w:t>
      </w:r>
      <w:r w:rsidRPr="00611C64">
        <w:rPr>
          <w:rFonts w:ascii="Times New Roman" w:hAnsi="Times New Roman" w:cs="Times New Roman"/>
          <w:b w:val="0"/>
          <w:bCs/>
          <w:i/>
          <w:iCs/>
          <w:color w:val="auto"/>
          <w:sz w:val="24"/>
          <w:szCs w:val="24"/>
        </w:rPr>
        <w:t>Practices of CP Principles</w:t>
      </w:r>
    </w:p>
    <w:tbl>
      <w:tblPr>
        <w:tblW w:w="2852" w:type="dxa"/>
        <w:tblInd w:w="113" w:type="dxa"/>
        <w:tblBorders>
          <w:top w:val="single" w:sz="18" w:space="0" w:color="002060"/>
          <w:bottom w:val="single" w:sz="18" w:space="0" w:color="002060"/>
          <w:insideH w:val="single" w:sz="8" w:space="0" w:color="002060"/>
        </w:tblBorders>
        <w:tblCellMar>
          <w:top w:w="28" w:type="dxa"/>
          <w:left w:w="113" w:type="dxa"/>
          <w:bottom w:w="28" w:type="dxa"/>
        </w:tblCellMar>
        <w:tblLook w:val="04A0" w:firstRow="1" w:lastRow="0" w:firstColumn="1" w:lastColumn="0" w:noHBand="0" w:noVBand="1"/>
      </w:tblPr>
      <w:tblGrid>
        <w:gridCol w:w="1834"/>
        <w:gridCol w:w="1018"/>
      </w:tblGrid>
      <w:tr w:rsidR="00E5769B" w:rsidRPr="00C62566" w14:paraId="127B06D8" w14:textId="77777777" w:rsidTr="005F731D">
        <w:trPr>
          <w:cantSplit/>
        </w:trPr>
        <w:tc>
          <w:tcPr>
            <w:tcW w:w="1834" w:type="dxa"/>
            <w:shd w:val="clear" w:color="auto" w:fill="auto"/>
            <w:vAlign w:val="center"/>
          </w:tcPr>
          <w:p w14:paraId="02A68D5A" w14:textId="77777777" w:rsidR="00E5769B" w:rsidRPr="00611C64" w:rsidRDefault="00E5769B" w:rsidP="005F731D">
            <w:pPr>
              <w:rPr>
                <w:b/>
                <w:sz w:val="20"/>
                <w:szCs w:val="20"/>
              </w:rPr>
            </w:pPr>
            <w:r w:rsidRPr="00611C64">
              <w:rPr>
                <w:b/>
                <w:sz w:val="20"/>
                <w:szCs w:val="20"/>
              </w:rPr>
              <w:t>Principle</w:t>
            </w:r>
          </w:p>
        </w:tc>
        <w:tc>
          <w:tcPr>
            <w:tcW w:w="1018" w:type="dxa"/>
          </w:tcPr>
          <w:p w14:paraId="4A895B29" w14:textId="77777777" w:rsidR="00E5769B" w:rsidRPr="00611C64" w:rsidRDefault="00E5769B" w:rsidP="005F731D">
            <w:pPr>
              <w:rPr>
                <w:b/>
                <w:sz w:val="20"/>
                <w:szCs w:val="20"/>
              </w:rPr>
            </w:pPr>
            <w:r w:rsidRPr="00611C64">
              <w:rPr>
                <w:b/>
                <w:sz w:val="20"/>
                <w:szCs w:val="20"/>
              </w:rPr>
              <w:t>Score</w:t>
            </w:r>
          </w:p>
        </w:tc>
      </w:tr>
      <w:tr w:rsidR="00E5769B" w:rsidRPr="00C62566" w14:paraId="06478A0E" w14:textId="77777777" w:rsidTr="005F731D">
        <w:trPr>
          <w:cantSplit/>
        </w:trPr>
        <w:tc>
          <w:tcPr>
            <w:tcW w:w="1834" w:type="dxa"/>
            <w:tcBorders>
              <w:bottom w:val="nil"/>
            </w:tcBorders>
            <w:shd w:val="clear" w:color="auto" w:fill="auto"/>
            <w:vAlign w:val="center"/>
          </w:tcPr>
          <w:p w14:paraId="14C259DF" w14:textId="77777777" w:rsidR="00E5769B" w:rsidRPr="00611C64" w:rsidRDefault="00E5769B" w:rsidP="005F731D">
            <w:pPr>
              <w:rPr>
                <w:sz w:val="20"/>
                <w:szCs w:val="20"/>
                <w:vertAlign w:val="superscript"/>
              </w:rPr>
            </w:pPr>
            <w:r w:rsidRPr="00611C64">
              <w:rPr>
                <w:sz w:val="20"/>
                <w:szCs w:val="20"/>
              </w:rPr>
              <w:t>Dialogue</w:t>
            </w:r>
          </w:p>
        </w:tc>
        <w:tc>
          <w:tcPr>
            <w:tcW w:w="1018" w:type="dxa"/>
            <w:tcBorders>
              <w:bottom w:val="nil"/>
            </w:tcBorders>
            <w:vAlign w:val="bottom"/>
          </w:tcPr>
          <w:p w14:paraId="7EFE8BD6" w14:textId="77777777" w:rsidR="00E5769B" w:rsidRPr="00611C64" w:rsidRDefault="00E5769B" w:rsidP="005F731D">
            <w:pPr>
              <w:rPr>
                <w:sz w:val="20"/>
                <w:szCs w:val="20"/>
              </w:rPr>
            </w:pPr>
            <w:r w:rsidRPr="00611C64">
              <w:rPr>
                <w:sz w:val="20"/>
                <w:szCs w:val="20"/>
              </w:rPr>
              <w:t>4.33</w:t>
            </w:r>
          </w:p>
        </w:tc>
      </w:tr>
      <w:tr w:rsidR="00E5769B" w:rsidRPr="00C62566" w14:paraId="6D1FB790" w14:textId="77777777" w:rsidTr="005F731D">
        <w:trPr>
          <w:cantSplit/>
        </w:trPr>
        <w:tc>
          <w:tcPr>
            <w:tcW w:w="1834" w:type="dxa"/>
            <w:tcBorders>
              <w:top w:val="nil"/>
              <w:bottom w:val="nil"/>
            </w:tcBorders>
            <w:shd w:val="clear" w:color="auto" w:fill="auto"/>
            <w:vAlign w:val="center"/>
          </w:tcPr>
          <w:p w14:paraId="0187F190" w14:textId="77777777" w:rsidR="00E5769B" w:rsidRPr="00611C64" w:rsidRDefault="00E5769B" w:rsidP="005F731D">
            <w:pPr>
              <w:rPr>
                <w:sz w:val="20"/>
                <w:szCs w:val="20"/>
              </w:rPr>
            </w:pPr>
            <w:r w:rsidRPr="00611C64">
              <w:rPr>
                <w:sz w:val="20"/>
                <w:szCs w:val="20"/>
              </w:rPr>
              <w:t>Problem-posing</w:t>
            </w:r>
          </w:p>
        </w:tc>
        <w:tc>
          <w:tcPr>
            <w:tcW w:w="1018" w:type="dxa"/>
            <w:tcBorders>
              <w:top w:val="nil"/>
              <w:bottom w:val="nil"/>
            </w:tcBorders>
            <w:vAlign w:val="bottom"/>
          </w:tcPr>
          <w:p w14:paraId="574AD6CF" w14:textId="77777777" w:rsidR="00E5769B" w:rsidRPr="00611C64" w:rsidRDefault="00E5769B" w:rsidP="005F731D">
            <w:pPr>
              <w:rPr>
                <w:sz w:val="20"/>
                <w:szCs w:val="20"/>
              </w:rPr>
            </w:pPr>
            <w:r w:rsidRPr="00611C64">
              <w:rPr>
                <w:sz w:val="20"/>
                <w:szCs w:val="20"/>
              </w:rPr>
              <w:t>4.40</w:t>
            </w:r>
          </w:p>
        </w:tc>
      </w:tr>
      <w:tr w:rsidR="00E5769B" w:rsidRPr="00C62566" w14:paraId="09582DCC" w14:textId="77777777" w:rsidTr="005F731D">
        <w:trPr>
          <w:cantSplit/>
        </w:trPr>
        <w:tc>
          <w:tcPr>
            <w:tcW w:w="1834" w:type="dxa"/>
            <w:tcBorders>
              <w:top w:val="nil"/>
              <w:bottom w:val="nil"/>
            </w:tcBorders>
            <w:shd w:val="clear" w:color="auto" w:fill="auto"/>
            <w:vAlign w:val="center"/>
          </w:tcPr>
          <w:p w14:paraId="74D1F7FC" w14:textId="77777777" w:rsidR="00E5769B" w:rsidRPr="00611C64" w:rsidRDefault="00E5769B" w:rsidP="005F731D">
            <w:pPr>
              <w:rPr>
                <w:sz w:val="20"/>
                <w:szCs w:val="20"/>
              </w:rPr>
            </w:pPr>
            <w:r w:rsidRPr="00611C64">
              <w:rPr>
                <w:sz w:val="20"/>
                <w:szCs w:val="20"/>
              </w:rPr>
              <w:t>Praxis</w:t>
            </w:r>
          </w:p>
        </w:tc>
        <w:tc>
          <w:tcPr>
            <w:tcW w:w="1018" w:type="dxa"/>
            <w:tcBorders>
              <w:top w:val="nil"/>
              <w:bottom w:val="nil"/>
            </w:tcBorders>
            <w:vAlign w:val="bottom"/>
          </w:tcPr>
          <w:p w14:paraId="3623754F" w14:textId="77777777" w:rsidR="00E5769B" w:rsidRPr="00611C64" w:rsidRDefault="00E5769B" w:rsidP="005F731D">
            <w:pPr>
              <w:rPr>
                <w:sz w:val="20"/>
                <w:szCs w:val="20"/>
              </w:rPr>
            </w:pPr>
            <w:r w:rsidRPr="00611C64">
              <w:rPr>
                <w:sz w:val="20"/>
                <w:szCs w:val="20"/>
              </w:rPr>
              <w:t>4.37</w:t>
            </w:r>
          </w:p>
        </w:tc>
      </w:tr>
      <w:tr w:rsidR="00E5769B" w:rsidRPr="00C62566" w14:paraId="13705929" w14:textId="77777777" w:rsidTr="005F731D">
        <w:trPr>
          <w:cantSplit/>
        </w:trPr>
        <w:tc>
          <w:tcPr>
            <w:tcW w:w="1834" w:type="dxa"/>
            <w:tcBorders>
              <w:top w:val="nil"/>
            </w:tcBorders>
            <w:shd w:val="clear" w:color="auto" w:fill="auto"/>
            <w:vAlign w:val="center"/>
          </w:tcPr>
          <w:p w14:paraId="16E19346" w14:textId="77777777" w:rsidR="00E5769B" w:rsidRPr="00611C64" w:rsidRDefault="00E5769B" w:rsidP="005F731D">
            <w:pPr>
              <w:rPr>
                <w:sz w:val="20"/>
                <w:szCs w:val="20"/>
              </w:rPr>
            </w:pPr>
            <w:r w:rsidRPr="00611C64">
              <w:rPr>
                <w:sz w:val="20"/>
                <w:szCs w:val="20"/>
              </w:rPr>
              <w:t>Conscientization</w:t>
            </w:r>
          </w:p>
        </w:tc>
        <w:tc>
          <w:tcPr>
            <w:tcW w:w="1018" w:type="dxa"/>
            <w:tcBorders>
              <w:top w:val="nil"/>
            </w:tcBorders>
            <w:vAlign w:val="bottom"/>
          </w:tcPr>
          <w:p w14:paraId="66DBA5B1" w14:textId="77777777" w:rsidR="00E5769B" w:rsidRPr="00611C64" w:rsidRDefault="00E5769B" w:rsidP="005F731D">
            <w:pPr>
              <w:rPr>
                <w:sz w:val="20"/>
                <w:szCs w:val="20"/>
              </w:rPr>
            </w:pPr>
            <w:r w:rsidRPr="00611C64">
              <w:rPr>
                <w:sz w:val="20"/>
                <w:szCs w:val="20"/>
              </w:rPr>
              <w:t>4.37</w:t>
            </w:r>
          </w:p>
        </w:tc>
      </w:tr>
    </w:tbl>
    <w:p w14:paraId="1D18854A" w14:textId="475F3540" w:rsidR="00E5769B" w:rsidRPr="00C62566" w:rsidRDefault="00E5769B" w:rsidP="00B303AA">
      <w:pPr>
        <w:pStyle w:val="BodyText"/>
        <w:spacing w:before="3"/>
        <w:ind w:right="38" w:firstLine="542"/>
        <w:jc w:val="both"/>
        <w:rPr>
          <w:rFonts w:eastAsia="Calibri"/>
          <w:lang w:val="en-GB"/>
        </w:rPr>
      </w:pPr>
      <w:r w:rsidRPr="00C62566">
        <w:rPr>
          <w:rFonts w:eastAsia="Calibri"/>
          <w:lang w:val="en-GB"/>
        </w:rPr>
        <w:t>The aforementioned questionnaire data is consistent with the data emerged during the interview sessions. One interviewee teaching EFL in a private university, PU1, when being asked how she usually composes her class in order to fit the lesson objectives, learning materials, and students’ prior knowledge and background, claimed that:</w:t>
      </w:r>
    </w:p>
    <w:p w14:paraId="54F754CC" w14:textId="57F56AAF" w:rsidR="00E5769B" w:rsidRPr="00611C64" w:rsidRDefault="00E5769B" w:rsidP="00E5769B">
      <w:pPr>
        <w:pStyle w:val="ISI"/>
        <w:ind w:left="990" w:right="44" w:firstLine="0"/>
        <w:rPr>
          <w:rFonts w:ascii="Times New Roman" w:eastAsia="Calibri" w:hAnsi="Times New Roman"/>
          <w:sz w:val="24"/>
          <w:lang w:val="en-GB"/>
        </w:rPr>
      </w:pPr>
      <w:r w:rsidRPr="00E5769B">
        <w:rPr>
          <w:rFonts w:ascii="Times New Roman" w:eastAsia="Calibri" w:hAnsi="Times New Roman"/>
          <w:spacing w:val="0"/>
          <w:sz w:val="24"/>
          <w:lang w:val="en-GB"/>
        </w:rPr>
        <w:t>“</w:t>
      </w:r>
      <w:r w:rsidR="00A505B6" w:rsidRPr="00AD32AF">
        <w:rPr>
          <w:rFonts w:ascii="Times New Roman" w:hAnsi="Times New Roman"/>
          <w:i/>
          <w:iCs/>
          <w:sz w:val="24"/>
        </w:rPr>
        <w:t xml:space="preserve">Jadi tetap ada upaya untuk menyesuaikan dengan tujuan pembelajaran dan kondisi mahasiswa saya. Bukan hanya materi. Metode mengajar saya pun saya sesuaikan dengan kondisi mahasiswa saya. pertimbangannya ada beberapa pertimbangan; </w:t>
      </w:r>
      <w:r w:rsidR="00A505B6" w:rsidRPr="00AD32AF">
        <w:rPr>
          <w:rFonts w:ascii="Times New Roman" w:hAnsi="Times New Roman"/>
          <w:sz w:val="24"/>
        </w:rPr>
        <w:t>background knowledge</w:t>
      </w:r>
      <w:r w:rsidR="00A505B6" w:rsidRPr="00AD32AF">
        <w:rPr>
          <w:rFonts w:ascii="Times New Roman" w:hAnsi="Times New Roman"/>
          <w:i/>
          <w:iCs/>
          <w:sz w:val="24"/>
        </w:rPr>
        <w:t xml:space="preserve">, </w:t>
      </w:r>
      <w:r w:rsidR="00A505B6" w:rsidRPr="00AD32AF">
        <w:rPr>
          <w:rFonts w:ascii="Times New Roman" w:hAnsi="Times New Roman"/>
          <w:sz w:val="24"/>
        </w:rPr>
        <w:t>background</w:t>
      </w:r>
      <w:r w:rsidR="00A505B6" w:rsidRPr="00AD32AF">
        <w:rPr>
          <w:rFonts w:ascii="Times New Roman" w:hAnsi="Times New Roman"/>
          <w:i/>
          <w:iCs/>
          <w:sz w:val="24"/>
        </w:rPr>
        <w:t xml:space="preserve"> sosial mereka</w:t>
      </w:r>
      <w:r w:rsidR="00A505B6">
        <w:rPr>
          <w:rFonts w:ascii="Times New Roman" w:hAnsi="Times New Roman"/>
          <w:i/>
          <w:iCs/>
          <w:sz w:val="24"/>
        </w:rPr>
        <w:t xml:space="preserve"> </w:t>
      </w:r>
      <w:r w:rsidR="00A505B6">
        <w:rPr>
          <w:rFonts w:ascii="Times New Roman" w:hAnsi="Times New Roman"/>
          <w:sz w:val="24"/>
        </w:rPr>
        <w:t>(</w:t>
      </w:r>
      <w:r w:rsidRPr="00E5769B">
        <w:rPr>
          <w:rFonts w:ascii="Times New Roman" w:eastAsia="Calibri" w:hAnsi="Times New Roman"/>
          <w:spacing w:val="0"/>
          <w:sz w:val="24"/>
          <w:lang w:val="en-GB"/>
        </w:rPr>
        <w:t xml:space="preserve">There are attempts to match learning outcomes and my students’ condition. </w:t>
      </w:r>
      <w:r>
        <w:rPr>
          <w:rFonts w:ascii="Times New Roman" w:eastAsia="Calibri" w:hAnsi="Times New Roman"/>
          <w:spacing w:val="0"/>
          <w:sz w:val="24"/>
          <w:lang w:val="en-GB"/>
        </w:rPr>
        <w:t>Not</w:t>
      </w:r>
      <w:r w:rsidRPr="00E5769B">
        <w:rPr>
          <w:rFonts w:ascii="Times New Roman" w:eastAsia="Calibri" w:hAnsi="Times New Roman"/>
          <w:spacing w:val="0"/>
          <w:sz w:val="24"/>
          <w:lang w:val="en-GB"/>
        </w:rPr>
        <w:t xml:space="preserve"> only with the learning materials, my teaching method is also aligned with my students’ situation. Th</w:t>
      </w:r>
      <w:r>
        <w:rPr>
          <w:rFonts w:ascii="Times New Roman" w:eastAsia="Calibri" w:hAnsi="Times New Roman"/>
          <w:spacing w:val="0"/>
          <w:sz w:val="24"/>
          <w:lang w:val="en-GB"/>
        </w:rPr>
        <w:t>e</w:t>
      </w:r>
      <w:r w:rsidRPr="00E5769B">
        <w:rPr>
          <w:rFonts w:ascii="Times New Roman" w:eastAsia="Calibri" w:hAnsi="Times New Roman"/>
          <w:spacing w:val="0"/>
          <w:sz w:val="24"/>
          <w:lang w:val="en-GB"/>
        </w:rPr>
        <w:t xml:space="preserve">re </w:t>
      </w:r>
      <w:r w:rsidRPr="00E5769B">
        <w:rPr>
          <w:rFonts w:ascii="Times New Roman" w:eastAsia="Calibri" w:hAnsi="Times New Roman"/>
          <w:spacing w:val="0"/>
          <w:sz w:val="24"/>
          <w:lang w:val="en-GB"/>
        </w:rPr>
        <w:t>are considerations; their</w:t>
      </w:r>
      <w:r w:rsidRPr="00611C64">
        <w:rPr>
          <w:rFonts w:ascii="Times New Roman" w:eastAsia="Calibri" w:hAnsi="Times New Roman"/>
          <w:sz w:val="24"/>
          <w:lang w:val="en-GB"/>
        </w:rPr>
        <w:t xml:space="preserve"> knowledge and social backgrounds</w:t>
      </w:r>
      <w:r w:rsidR="00A505B6">
        <w:rPr>
          <w:rFonts w:ascii="Times New Roman" w:eastAsia="Calibri" w:hAnsi="Times New Roman"/>
          <w:sz w:val="24"/>
          <w:lang w:val="en-GB"/>
        </w:rPr>
        <w:t>)</w:t>
      </w:r>
      <w:r w:rsidRPr="00611C64">
        <w:rPr>
          <w:rFonts w:ascii="Times New Roman" w:eastAsia="Calibri" w:hAnsi="Times New Roman"/>
          <w:sz w:val="24"/>
          <w:lang w:val="en-GB"/>
        </w:rPr>
        <w:t>.</w:t>
      </w:r>
      <w:r>
        <w:rPr>
          <w:rFonts w:ascii="Times New Roman" w:eastAsia="Calibri" w:hAnsi="Times New Roman"/>
          <w:sz w:val="24"/>
          <w:lang w:val="en-GB"/>
        </w:rPr>
        <w:t>”</w:t>
      </w:r>
    </w:p>
    <w:p w14:paraId="183D6169" w14:textId="02921314" w:rsidR="00E5769B" w:rsidRPr="00C62566" w:rsidRDefault="00E5769B" w:rsidP="00B303AA">
      <w:pPr>
        <w:pStyle w:val="BodyText"/>
        <w:spacing w:before="3"/>
        <w:ind w:right="38" w:firstLine="542"/>
        <w:jc w:val="both"/>
        <w:rPr>
          <w:rFonts w:eastAsia="Calibri"/>
          <w:lang w:val="en-GB"/>
        </w:rPr>
      </w:pPr>
      <w:r w:rsidRPr="00C62566">
        <w:rPr>
          <w:rFonts w:eastAsia="Calibri"/>
          <w:lang w:val="en-GB"/>
        </w:rPr>
        <w:t>Giving a close attention to the excerpt, it can be inferred that the participant, in particular degree of intensity, has executed one of the classroom activities representing the principle of problem-posing (Nixon-Ponder, 1995; Freire &amp; M</w:t>
      </w:r>
      <w:r w:rsidR="00A90A39">
        <w:rPr>
          <w:rFonts w:eastAsia="Calibri"/>
          <w:lang w:val="en-GB"/>
        </w:rPr>
        <w:t>a</w:t>
      </w:r>
      <w:r w:rsidRPr="00C62566">
        <w:rPr>
          <w:rFonts w:eastAsia="Calibri"/>
          <w:lang w:val="en-GB"/>
        </w:rPr>
        <w:t>ced</w:t>
      </w:r>
      <w:r w:rsidR="00A90A39">
        <w:rPr>
          <w:rFonts w:eastAsia="Calibri"/>
          <w:lang w:val="en-GB"/>
        </w:rPr>
        <w:t>o</w:t>
      </w:r>
      <w:r w:rsidRPr="00C62566">
        <w:rPr>
          <w:rFonts w:eastAsia="Calibri"/>
          <w:lang w:val="en-GB"/>
        </w:rPr>
        <w:t>, 2005; Mochinski, 2008; Puspita &amp; Mambu, 2020). However, the opportunity to consider learners’ prior knowledge and social background in the process of deciding learning objectives and materials as well as teaching methods used may only be possessed by teachers who teach in higher education context as they have the necessary space and time to perform it. It is possibly because of the exitance of rigid predetermined EFL curriculum in Indonesian schools (Mambu, 2011; Yulianto, 2020).</w:t>
      </w:r>
    </w:p>
    <w:p w14:paraId="38F29146" w14:textId="77777777" w:rsidR="00A90A39" w:rsidRPr="00C62566" w:rsidRDefault="00A90A39" w:rsidP="00B303AA">
      <w:pPr>
        <w:pStyle w:val="BodyText"/>
        <w:spacing w:before="3"/>
        <w:ind w:right="38" w:firstLine="542"/>
        <w:jc w:val="both"/>
        <w:rPr>
          <w:rFonts w:eastAsia="Calibri"/>
          <w:lang w:val="en-GB"/>
        </w:rPr>
      </w:pPr>
      <w:r w:rsidRPr="00C62566">
        <w:rPr>
          <w:rFonts w:eastAsia="Calibri"/>
          <w:lang w:val="en-GB"/>
        </w:rPr>
        <w:t xml:space="preserve">The identical practice is also performed by another teacher, PS1, who teaches EFL in one public senior high school in Subang, West Java. Being aware of the challenges he faces caused by the limited allocated time and students’ lack of English proficiency, in the interview session, he states: </w:t>
      </w:r>
    </w:p>
    <w:p w14:paraId="38EC37C2" w14:textId="4C0E3433" w:rsidR="00A90A39" w:rsidRPr="00932AA6" w:rsidRDefault="00A90A39" w:rsidP="00A90A39">
      <w:pPr>
        <w:pStyle w:val="ISI"/>
        <w:ind w:left="990" w:right="44" w:firstLine="0"/>
        <w:rPr>
          <w:rFonts w:ascii="Times New Roman" w:eastAsia="Calibri" w:hAnsi="Times New Roman"/>
          <w:sz w:val="24"/>
          <w:lang w:val="en-GB"/>
        </w:rPr>
      </w:pPr>
      <w:r>
        <w:rPr>
          <w:rFonts w:ascii="Times New Roman" w:eastAsia="Calibri" w:hAnsi="Times New Roman"/>
          <w:sz w:val="24"/>
          <w:lang w:val="en-GB"/>
        </w:rPr>
        <w:t>“</w:t>
      </w:r>
      <w:r w:rsidR="00A505B6" w:rsidRPr="00AD32AF">
        <w:rPr>
          <w:rFonts w:ascii="Times New Roman" w:hAnsi="Times New Roman"/>
          <w:i/>
          <w:iCs/>
          <w:sz w:val="24"/>
        </w:rPr>
        <w:t>Saya selalu mengaitkan konteks materi pembelajaran saya dan apa yang terjadi di lingkungan sekarang. Materi-materi itu sengaja saya sisipkan dalam materi bahasa Inggris sehingga mereka bernalar kritis</w:t>
      </w:r>
      <w:r w:rsidR="00A505B6" w:rsidRPr="00932AA6">
        <w:rPr>
          <w:rFonts w:ascii="Times New Roman" w:eastAsia="Calibri" w:hAnsi="Times New Roman"/>
          <w:sz w:val="24"/>
          <w:lang w:val="en-GB"/>
        </w:rPr>
        <w:t xml:space="preserve"> </w:t>
      </w:r>
      <w:r w:rsidR="00A505B6">
        <w:rPr>
          <w:rFonts w:ascii="Times New Roman" w:eastAsia="Calibri" w:hAnsi="Times New Roman"/>
          <w:sz w:val="24"/>
          <w:lang w:val="en-GB"/>
        </w:rPr>
        <w:t>(</w:t>
      </w:r>
      <w:r w:rsidRPr="00932AA6">
        <w:rPr>
          <w:rFonts w:ascii="Times New Roman" w:eastAsia="Calibri" w:hAnsi="Times New Roman"/>
          <w:sz w:val="24"/>
          <w:lang w:val="en-GB"/>
        </w:rPr>
        <w:t>I always connect my learning material context with what happen in surrounding currently. Those materials are intentionally inserted in my English lesson for my student to think critically</w:t>
      </w:r>
      <w:r w:rsidR="00A505B6">
        <w:rPr>
          <w:rFonts w:ascii="Times New Roman" w:eastAsia="Calibri" w:hAnsi="Times New Roman"/>
          <w:sz w:val="24"/>
          <w:lang w:val="en-GB"/>
        </w:rPr>
        <w:t>)</w:t>
      </w:r>
      <w:r w:rsidRPr="00932AA6">
        <w:rPr>
          <w:rFonts w:ascii="Times New Roman" w:eastAsia="Calibri" w:hAnsi="Times New Roman"/>
          <w:sz w:val="24"/>
          <w:lang w:val="en-GB"/>
        </w:rPr>
        <w:t>.</w:t>
      </w:r>
      <w:r>
        <w:rPr>
          <w:rFonts w:ascii="Times New Roman" w:eastAsia="Calibri" w:hAnsi="Times New Roman"/>
          <w:sz w:val="24"/>
          <w:lang w:val="en-GB"/>
        </w:rPr>
        <w:t>”</w:t>
      </w:r>
    </w:p>
    <w:p w14:paraId="4C0FE9FB" w14:textId="496329EE" w:rsidR="00A90A39" w:rsidRPr="00C62566" w:rsidRDefault="00A90A39" w:rsidP="00B303AA">
      <w:pPr>
        <w:pStyle w:val="BodyText"/>
        <w:spacing w:before="3"/>
        <w:ind w:right="38" w:firstLine="542"/>
        <w:jc w:val="both"/>
        <w:rPr>
          <w:rFonts w:eastAsia="Calibri"/>
          <w:lang w:val="en-GB"/>
        </w:rPr>
      </w:pPr>
      <w:r w:rsidRPr="00C62566">
        <w:rPr>
          <w:rFonts w:eastAsia="Calibri"/>
          <w:lang w:val="en-GB"/>
        </w:rPr>
        <w:t xml:space="preserve">As indicated in the previously displayed statement, it can be interpreted that although the participant cannot fully study his students’ backgrounds, PS1 tries to no teach learning materials solely without connecting it with something that is commonly known including by his students. The activity, relating EFL lesson with surrounding trending events, is carried out by PS1 to facilitate his students’ critical thinking skills. It is in line with what has been theorized by Herrera-Molina &amp; Portilla-Quintero (2021) that incorporating </w:t>
      </w:r>
      <w:r w:rsidRPr="00C62566">
        <w:rPr>
          <w:rFonts w:eastAsia="Calibri"/>
          <w:lang w:val="en-GB"/>
        </w:rPr>
        <w:lastRenderedPageBreak/>
        <w:t>problematic and close to student social issues through dialogue can facilitate them think critically.</w:t>
      </w:r>
    </w:p>
    <w:p w14:paraId="7C4C5F8E" w14:textId="16E8D8CB" w:rsidR="00A90A39" w:rsidRPr="00C62566" w:rsidRDefault="00A90A39" w:rsidP="00B303AA">
      <w:pPr>
        <w:pStyle w:val="BodyText"/>
        <w:spacing w:before="3"/>
        <w:ind w:right="38" w:firstLine="542"/>
        <w:jc w:val="both"/>
        <w:rPr>
          <w:rFonts w:eastAsia="Calibri"/>
          <w:lang w:val="en-GB"/>
        </w:rPr>
      </w:pPr>
      <w:r w:rsidRPr="00C62566">
        <w:rPr>
          <w:rFonts w:eastAsia="Calibri"/>
          <w:lang w:val="en-GB"/>
        </w:rPr>
        <w:t>Regarding critical thinking as one of the essential aspects of EFL classrooms applying CP, another interviewed partici</w:t>
      </w:r>
      <w:r>
        <w:rPr>
          <w:rFonts w:eastAsia="Calibri"/>
          <w:lang w:val="en-GB"/>
        </w:rPr>
        <w:t>p</w:t>
      </w:r>
      <w:r w:rsidRPr="00C62566">
        <w:rPr>
          <w:rFonts w:eastAsia="Calibri"/>
          <w:lang w:val="en-GB"/>
        </w:rPr>
        <w:t>ant, PS2, c</w:t>
      </w:r>
      <w:r>
        <w:rPr>
          <w:rFonts w:eastAsia="Calibri"/>
          <w:lang w:val="en-GB"/>
        </w:rPr>
        <w:t>la</w:t>
      </w:r>
      <w:r w:rsidRPr="00C62566">
        <w:rPr>
          <w:rFonts w:eastAsia="Calibri"/>
          <w:lang w:val="en-GB"/>
        </w:rPr>
        <w:t xml:space="preserve">imed that she has assisted her students to exercise it. When being asked about the incorporation of critical thinking in her class, she answered: </w:t>
      </w:r>
    </w:p>
    <w:p w14:paraId="1A595216" w14:textId="6F529519" w:rsidR="00A90A39" w:rsidRPr="00932AA6" w:rsidRDefault="00A90A39" w:rsidP="00A90A39">
      <w:pPr>
        <w:pStyle w:val="ISI"/>
        <w:ind w:left="990" w:right="44" w:firstLine="0"/>
        <w:rPr>
          <w:rFonts w:ascii="Times New Roman" w:eastAsia="Calibri" w:hAnsi="Times New Roman"/>
          <w:sz w:val="24"/>
          <w:lang w:val="en-GB"/>
        </w:rPr>
      </w:pPr>
      <w:r>
        <w:rPr>
          <w:rFonts w:ascii="Times New Roman" w:eastAsia="Calibri" w:hAnsi="Times New Roman"/>
          <w:sz w:val="24"/>
          <w:lang w:val="en-GB"/>
        </w:rPr>
        <w:t>“</w:t>
      </w:r>
      <w:r w:rsidR="00A505B6" w:rsidRPr="00AD32AF">
        <w:rPr>
          <w:rFonts w:ascii="Times New Roman" w:hAnsi="Times New Roman"/>
          <w:i/>
          <w:iCs/>
          <w:sz w:val="24"/>
        </w:rPr>
        <w:t>Saya pikir, saya sudah memfasilitasi anak anak saya untuk berpikir kritis, yang didasari oleh salah satunya kesiapan belajar, minat dan bakat mereka. Pada akhirnya, saya ingin membantu mereka menjadi lebih bijak dalam bersikap di tengah masyatakat</w:t>
      </w:r>
      <w:r w:rsidR="00A505B6">
        <w:rPr>
          <w:rFonts w:ascii="Times New Roman" w:hAnsi="Times New Roman"/>
          <w:i/>
          <w:iCs/>
          <w:sz w:val="24"/>
        </w:rPr>
        <w:t xml:space="preserve"> </w:t>
      </w:r>
      <w:r w:rsidR="00A505B6">
        <w:rPr>
          <w:rFonts w:ascii="Times New Roman" w:hAnsi="Times New Roman"/>
          <w:sz w:val="24"/>
        </w:rPr>
        <w:t>(</w:t>
      </w:r>
      <w:r w:rsidRPr="00932AA6">
        <w:rPr>
          <w:rFonts w:ascii="Times New Roman" w:eastAsia="Calibri" w:hAnsi="Times New Roman"/>
          <w:sz w:val="24"/>
          <w:lang w:val="en-GB"/>
        </w:rPr>
        <w:t>I think I have facilitated my students to think critically based on, one of them, their learning readiness, interest, and talent. At the end of the day, I want to help them to be wiser in interacting with their community</w:t>
      </w:r>
      <w:r w:rsidR="00A505B6">
        <w:rPr>
          <w:rFonts w:ascii="Times New Roman" w:eastAsia="Calibri" w:hAnsi="Times New Roman"/>
          <w:sz w:val="24"/>
          <w:lang w:val="en-GB"/>
        </w:rPr>
        <w:t>)</w:t>
      </w:r>
      <w:r w:rsidRPr="00932AA6">
        <w:rPr>
          <w:rFonts w:ascii="Times New Roman" w:eastAsia="Calibri" w:hAnsi="Times New Roman"/>
          <w:sz w:val="24"/>
          <w:lang w:val="en-GB"/>
        </w:rPr>
        <w:t>.</w:t>
      </w:r>
      <w:r>
        <w:rPr>
          <w:rFonts w:ascii="Times New Roman" w:eastAsia="Calibri" w:hAnsi="Times New Roman"/>
          <w:sz w:val="24"/>
          <w:lang w:val="en-GB"/>
        </w:rPr>
        <w:t>”</w:t>
      </w:r>
    </w:p>
    <w:p w14:paraId="5F40E2F2" w14:textId="7F583B2F" w:rsidR="00A90A39" w:rsidRPr="00C62566" w:rsidRDefault="00A90A39" w:rsidP="00B303AA">
      <w:pPr>
        <w:pStyle w:val="BodyText"/>
        <w:spacing w:before="3"/>
        <w:ind w:right="38" w:firstLine="542"/>
        <w:jc w:val="both"/>
        <w:rPr>
          <w:rFonts w:eastAsia="Calibri"/>
          <w:lang w:val="en-GB"/>
        </w:rPr>
      </w:pPr>
      <w:r w:rsidRPr="00C62566">
        <w:rPr>
          <w:rFonts w:eastAsia="Calibri"/>
          <w:lang w:val="en-GB"/>
        </w:rPr>
        <w:t>Although the participant is not familiar with the theory and practice of CP, the integration of critical thinking in her EFL classroom has actually been aligned to the principles and purpose of CP. The principles of CP reflected in the partic</w:t>
      </w:r>
      <w:r>
        <w:rPr>
          <w:rFonts w:eastAsia="Calibri"/>
          <w:lang w:val="en-GB"/>
        </w:rPr>
        <w:t>i</w:t>
      </w:r>
      <w:r w:rsidRPr="00C62566">
        <w:rPr>
          <w:rFonts w:eastAsia="Calibri"/>
          <w:lang w:val="en-GB"/>
        </w:rPr>
        <w:t>pant’s practice as can be inferred from the excerpt are problem-posing along with conscientization for it is constructed on the learners’ existing situation and aimed to prepare them appropriately function in the wider outside classroom community. The objective of the stated practice that is not only to make the learners be able identifying fact from opinion, but also to assist them being wiser in interacting with other member of community is in</w:t>
      </w:r>
      <w:r>
        <w:rPr>
          <w:rFonts w:eastAsia="Calibri"/>
          <w:lang w:val="en-GB"/>
        </w:rPr>
        <w:t xml:space="preserve"> </w:t>
      </w:r>
      <w:r w:rsidRPr="00C62566">
        <w:rPr>
          <w:rFonts w:eastAsia="Calibri"/>
          <w:lang w:val="en-GB"/>
        </w:rPr>
        <w:t>line with what has been elaborated by Burbules &amp; Berk (1999) rega</w:t>
      </w:r>
      <w:r>
        <w:rPr>
          <w:rFonts w:eastAsia="Calibri"/>
          <w:lang w:val="en-GB"/>
        </w:rPr>
        <w:t>r</w:t>
      </w:r>
      <w:r w:rsidRPr="00C62566">
        <w:rPr>
          <w:rFonts w:eastAsia="Calibri"/>
          <w:lang w:val="en-GB"/>
        </w:rPr>
        <w:t>ding the intersection between critical thinking and CP.</w:t>
      </w:r>
    </w:p>
    <w:p w14:paraId="76E3758E" w14:textId="77777777" w:rsidR="00A90A39" w:rsidRPr="00C62566" w:rsidRDefault="00A90A39" w:rsidP="00B303AA">
      <w:pPr>
        <w:pStyle w:val="BodyText"/>
        <w:spacing w:before="3"/>
        <w:ind w:right="38" w:firstLine="542"/>
        <w:jc w:val="both"/>
        <w:rPr>
          <w:rFonts w:eastAsia="Calibri"/>
          <w:lang w:val="en-GB"/>
        </w:rPr>
      </w:pPr>
      <w:r w:rsidRPr="00C62566">
        <w:rPr>
          <w:rFonts w:eastAsia="Calibri"/>
          <w:lang w:val="en-GB"/>
        </w:rPr>
        <w:t xml:space="preserve">In addition to confirm the participants’ responses toward the questionnaire, the interviews were also carried out to investigate the classroom activities the interviewees perform in their daily teaching practices that possibly based on and related to the four CP </w:t>
      </w:r>
      <w:r w:rsidRPr="00C62566">
        <w:rPr>
          <w:rFonts w:eastAsia="Calibri"/>
          <w:lang w:val="en-GB"/>
        </w:rPr>
        <w:t>principles. It can be inferred that there are twelve classroom activities that performed by the participants with various degree of frequency and intensity, considering the answer the six participants gave and the story they told during the interviews that can be interpreted as the practice of CP principles in the context of EFL education at different levels of school in Indonesia.</w:t>
      </w:r>
    </w:p>
    <w:p w14:paraId="3770A927" w14:textId="77777777" w:rsidR="00A90A39" w:rsidRPr="00C62566" w:rsidRDefault="00A90A39" w:rsidP="00B303AA">
      <w:pPr>
        <w:pStyle w:val="BodyText"/>
        <w:spacing w:before="3"/>
        <w:ind w:right="38" w:firstLine="542"/>
        <w:jc w:val="both"/>
        <w:rPr>
          <w:rFonts w:eastAsia="Calibri"/>
          <w:lang w:val="en-GB"/>
        </w:rPr>
      </w:pPr>
      <w:r w:rsidRPr="00C62566">
        <w:rPr>
          <w:rFonts w:eastAsia="Calibri"/>
          <w:lang w:val="en-GB"/>
        </w:rPr>
        <w:t>The twelve activities are classified under the four CP principles namely dialogue, problem-posing, praxis, and conscientization. It means there are three activities in each CP principle. Those twelve activities are (1) negotiating classroom decision; (2) encouraging and appreciating students’ opinion; (3) using students’ first language; (4) presenting and discussing students’ real problems; (5) connecting learning materials to students’ life; (6) using students’ prior knowledge, experience, and local culture; (7) inviting students to take action based on classroom discussion; (8) assisting students to reflect on their learning activity; (9) encouraging students to continually act and reflect; (10) incorporating problematic sociocultural and political issues; (11) asking students to think critically; and (12) promoting justice and equality. However, taking into account the fact that only two out of six interviewees are familiar with the theory and practice of CP, it can be stated that most of the activities representing CP principles are carried out implicitly (Serrano et al., 2017).</w:t>
      </w:r>
    </w:p>
    <w:p w14:paraId="29AD2C4B" w14:textId="386B46E2" w:rsidR="004025AD" w:rsidRDefault="00A90A39" w:rsidP="00B303AA">
      <w:pPr>
        <w:pStyle w:val="BodyText"/>
        <w:spacing w:before="3"/>
        <w:ind w:right="38" w:firstLine="542"/>
        <w:jc w:val="both"/>
        <w:rPr>
          <w:rFonts w:eastAsia="Calibri"/>
          <w:lang w:val="en-GB"/>
        </w:rPr>
      </w:pPr>
      <w:r w:rsidRPr="00C62566">
        <w:rPr>
          <w:rFonts w:eastAsia="Calibri"/>
          <w:lang w:val="en-GB"/>
        </w:rPr>
        <w:t xml:space="preserve">In summary, highlighting the aforementioned data display and its elaboration, it can be interpreted that the findings of this research are in accordance to what have been discovered before by Jeyaraj &amp; Harland (2019) and Sulistyowardani et al. (2020). Conducting research by interviewing eleven critical EFL lecturers from seven different countries, Jeyaraj &amp; Harland (2019) found that problem-posing and negotiation are two of the common activities that are carried out by the EFL lecturers that incorporate CP in teaching practices. Moreover, they concluded that there is a universal acceptance towards CP especially in the context of higher education. In the meantime, a study carried out by Sulityowardhani et al. (2020) in </w:t>
      </w:r>
      <w:r w:rsidRPr="00C62566">
        <w:rPr>
          <w:rFonts w:eastAsia="Calibri"/>
          <w:lang w:val="en-GB"/>
        </w:rPr>
        <w:lastRenderedPageBreak/>
        <w:t>investigating two high school EFL teachers’ recognition and implementation of CP is relevant to the present research in terms of the inconsistency between teachers c</w:t>
      </w:r>
      <w:r>
        <w:rPr>
          <w:rFonts w:eastAsia="Calibri"/>
          <w:lang w:val="en-GB"/>
        </w:rPr>
        <w:t>lai</w:t>
      </w:r>
      <w:r w:rsidRPr="00C62566">
        <w:rPr>
          <w:rFonts w:eastAsia="Calibri"/>
          <w:lang w:val="en-GB"/>
        </w:rPr>
        <w:t>ms and their practices regarding the integration of CP in their EFL classrooms. As it is previously elaborated, while the participating EFL teachers value dialogue more than problem-posing, they apply problem-posing more than dialogue.</w:t>
      </w:r>
    </w:p>
    <w:p w14:paraId="068B1B28" w14:textId="77777777" w:rsidR="0032386F" w:rsidRDefault="0032386F" w:rsidP="00400D5B">
      <w:pPr>
        <w:pStyle w:val="BodyText"/>
        <w:spacing w:before="3"/>
        <w:ind w:left="100" w:right="38" w:firstLine="542"/>
        <w:jc w:val="both"/>
      </w:pPr>
    </w:p>
    <w:p w14:paraId="70BC7EB3" w14:textId="4A6ECAEA" w:rsidR="00400D5B" w:rsidRDefault="00400D5B" w:rsidP="00B303AA">
      <w:pPr>
        <w:pStyle w:val="Heading1"/>
        <w:spacing w:before="95"/>
        <w:ind w:left="0"/>
      </w:pPr>
      <w:r>
        <w:t>CONCLUSION</w:t>
      </w:r>
    </w:p>
    <w:p w14:paraId="06354EE8" w14:textId="5BCB267E" w:rsidR="00400D5B" w:rsidRPr="00C62566" w:rsidRDefault="00400D5B" w:rsidP="00400D5B">
      <w:pPr>
        <w:pStyle w:val="ISI"/>
        <w:ind w:firstLine="0"/>
        <w:rPr>
          <w:rFonts w:ascii="Times New Roman" w:eastAsia="Calibri" w:hAnsi="Times New Roman"/>
          <w:sz w:val="24"/>
        </w:rPr>
      </w:pPr>
      <w:r w:rsidRPr="00C62566">
        <w:rPr>
          <w:rFonts w:ascii="Times New Roman" w:eastAsia="Calibri" w:hAnsi="Times New Roman"/>
          <w:sz w:val="24"/>
        </w:rPr>
        <w:t>There are two purposes of this study that are investigating the teachers’</w:t>
      </w:r>
      <w:r w:rsidRPr="00C62566">
        <w:rPr>
          <w:rFonts w:ascii="Times New Roman" w:hAnsi="Times New Roman"/>
          <w:bCs/>
          <w:sz w:val="24"/>
          <w:shd w:val="clear" w:color="auto" w:fill="FFFFFF"/>
        </w:rPr>
        <w:t xml:space="preserve"> </w:t>
      </w:r>
      <w:r w:rsidRPr="00C62566">
        <w:rPr>
          <w:rFonts w:ascii="Times New Roman" w:eastAsia="Calibri" w:hAnsi="Times New Roman"/>
          <w:sz w:val="24"/>
        </w:rPr>
        <w:t>beliefs upon the four CP principles and uncovering their CP principle-based classroom activities. Bearing in mind the findings and discussion elaborated in the previous sections, there are three conclusions that can be formulated. Firstly, the participating EFL teachers view CP as desirable but less feasible as it is evident in the Table 3. Secondly, among the four CP principles, dialogue and problem-posing are more familiar, favorable, as well as applicable than praxis and conscientization. Lasty, according to the claims stated by the six pa</w:t>
      </w:r>
      <w:r>
        <w:rPr>
          <w:rFonts w:ascii="Times New Roman" w:eastAsia="Calibri" w:hAnsi="Times New Roman"/>
          <w:sz w:val="24"/>
        </w:rPr>
        <w:t>r</w:t>
      </w:r>
      <w:r w:rsidRPr="00C62566">
        <w:rPr>
          <w:rFonts w:ascii="Times New Roman" w:eastAsia="Calibri" w:hAnsi="Times New Roman"/>
          <w:sz w:val="24"/>
        </w:rPr>
        <w:t>ticipants during the interviews, there are twelve EFL classroom activities performed in their daily teac</w:t>
      </w:r>
      <w:r>
        <w:rPr>
          <w:rFonts w:ascii="Times New Roman" w:eastAsia="Calibri" w:hAnsi="Times New Roman"/>
          <w:sz w:val="24"/>
        </w:rPr>
        <w:t>h</w:t>
      </w:r>
      <w:r w:rsidRPr="00C62566">
        <w:rPr>
          <w:rFonts w:ascii="Times New Roman" w:eastAsia="Calibri" w:hAnsi="Times New Roman"/>
          <w:sz w:val="24"/>
        </w:rPr>
        <w:t>ing practice that re both consciously and subconsciously based on their positive views regarding the four CP principles.</w:t>
      </w:r>
    </w:p>
    <w:p w14:paraId="16A54A8D" w14:textId="219D72D9" w:rsidR="00400D5B" w:rsidRDefault="00400D5B" w:rsidP="00B303AA">
      <w:pPr>
        <w:pStyle w:val="BodyText"/>
        <w:spacing w:before="3"/>
        <w:ind w:right="38" w:firstLine="542"/>
        <w:jc w:val="both"/>
        <w:rPr>
          <w:bCs/>
          <w:shd w:val="clear" w:color="auto" w:fill="FFFFFF"/>
        </w:rPr>
      </w:pPr>
      <w:r w:rsidRPr="00C62566">
        <w:rPr>
          <w:rFonts w:eastAsia="Calibri"/>
        </w:rPr>
        <w:t>Taking into account the aforementioned conclusions, there are three imp</w:t>
      </w:r>
      <w:r>
        <w:rPr>
          <w:rFonts w:eastAsia="Calibri"/>
        </w:rPr>
        <w:t>l</w:t>
      </w:r>
      <w:r w:rsidRPr="00C62566">
        <w:rPr>
          <w:rFonts w:eastAsia="Calibri"/>
        </w:rPr>
        <w:t>ications</w:t>
      </w:r>
      <w:r>
        <w:rPr>
          <w:rFonts w:eastAsia="Calibri"/>
        </w:rPr>
        <w:t xml:space="preserve"> </w:t>
      </w:r>
      <w:r w:rsidRPr="00C62566">
        <w:rPr>
          <w:rFonts w:eastAsia="Calibri"/>
        </w:rPr>
        <w:t xml:space="preserve">of the present study. It is recommended for EFL teachers to start expanding their teaching practice beyond classroom by emphasizing more on the incorporation of praxis and conscientization principles. Furthermore, it is also recommended for government, especially Ministry of Education and Culture (MOEC), to support the application and study on CP in EFL classroom by providing trainings along with research grants. Finally, it is suggested for further researchers to do more research by employing various methods as well as involving more data resources in diverse contexts. It is essential for further research investigating EFL teachers’ perspective upon and their application of CP </w:t>
      </w:r>
      <w:r w:rsidRPr="00C62566">
        <w:rPr>
          <w:rFonts w:eastAsia="Calibri"/>
        </w:rPr>
        <w:t>principles to employ classroom observation as data collection technique in order to attain the clearer comprehension regarding how the principles of practiced</w:t>
      </w:r>
      <w:r w:rsidRPr="00C62566">
        <w:rPr>
          <w:bCs/>
          <w:shd w:val="clear" w:color="auto" w:fill="FFFFFF"/>
        </w:rPr>
        <w:t>.</w:t>
      </w:r>
    </w:p>
    <w:p w14:paraId="304BB3D8" w14:textId="77777777" w:rsidR="0032386F" w:rsidRPr="00C62566" w:rsidRDefault="0032386F" w:rsidP="00400D5B">
      <w:pPr>
        <w:pStyle w:val="BodyText"/>
        <w:spacing w:before="3"/>
        <w:ind w:left="100" w:right="38" w:firstLine="542"/>
        <w:jc w:val="both"/>
        <w:rPr>
          <w:rFonts w:eastAsia="Calibri"/>
        </w:rPr>
      </w:pPr>
    </w:p>
    <w:p w14:paraId="32CD9FC5" w14:textId="77777777" w:rsidR="00400D5B" w:rsidRDefault="00400D5B" w:rsidP="00B303AA">
      <w:pPr>
        <w:pStyle w:val="Heading1"/>
        <w:spacing w:before="92" w:line="272" w:lineRule="exact"/>
        <w:ind w:left="0"/>
      </w:pPr>
      <w:r>
        <w:t>ACKNOWLEDGEMENT</w:t>
      </w:r>
    </w:p>
    <w:p w14:paraId="3C9417F7" w14:textId="633F241B" w:rsidR="00913488" w:rsidRDefault="00913488" w:rsidP="00913488">
      <w:pPr>
        <w:jc w:val="both"/>
        <w:rPr>
          <w:bCs/>
          <w:sz w:val="24"/>
          <w:szCs w:val="24"/>
        </w:rPr>
      </w:pPr>
      <w:r>
        <w:rPr>
          <w:bCs/>
          <w:sz w:val="24"/>
          <w:szCs w:val="24"/>
        </w:rPr>
        <w:t xml:space="preserve">This research is not supported with any grant, fellowship, and other funding sources. This is a part of a dissertation conducted by the first author under the guidance of the two co-authors. Authors would like to thank to the two co-authors and the thirty participants contributing during the data collection period. </w:t>
      </w:r>
    </w:p>
    <w:p w14:paraId="08591A52" w14:textId="77777777" w:rsidR="0032386F" w:rsidRDefault="0032386F" w:rsidP="00913488">
      <w:pPr>
        <w:jc w:val="both"/>
        <w:rPr>
          <w:bCs/>
          <w:color w:val="00B0F0"/>
          <w:sz w:val="24"/>
          <w:szCs w:val="24"/>
          <w:lang w:val="en-GB"/>
        </w:rPr>
      </w:pPr>
    </w:p>
    <w:p w14:paraId="2319CD92" w14:textId="52FEB7E0" w:rsidR="00400D5B" w:rsidRPr="00400D5B" w:rsidRDefault="00400D5B" w:rsidP="00B303AA">
      <w:pPr>
        <w:pStyle w:val="Heading1"/>
        <w:spacing w:line="240" w:lineRule="auto"/>
        <w:ind w:left="0"/>
      </w:pPr>
      <w:r>
        <w:t>REFERENCES</w:t>
      </w:r>
    </w:p>
    <w:p w14:paraId="4D327B3F" w14:textId="77777777" w:rsidR="00B303AA" w:rsidRPr="00B303AA" w:rsidRDefault="00B303AA" w:rsidP="00B303AA">
      <w:pPr>
        <w:tabs>
          <w:tab w:val="left" w:pos="4037"/>
        </w:tabs>
        <w:spacing w:before="1"/>
        <w:ind w:left="720" w:right="111" w:hanging="711"/>
        <w:jc w:val="both"/>
        <w:rPr>
          <w:noProof/>
          <w:sz w:val="20"/>
          <w:szCs w:val="20"/>
        </w:rPr>
      </w:pPr>
      <w:r w:rsidRPr="00B303AA">
        <w:rPr>
          <w:sz w:val="20"/>
        </w:rPr>
        <w:t>Abednia</w:t>
      </w:r>
      <w:r w:rsidRPr="00B303AA">
        <w:rPr>
          <w:noProof/>
          <w:sz w:val="20"/>
          <w:szCs w:val="20"/>
        </w:rPr>
        <w:t xml:space="preserve">, A &amp; Izadinia, M. (2013). Critical Pedagoggy in ELT Classroom: Exploring Contributions of Critical Literacy to Learners’ Critical Consciousness. </w:t>
      </w:r>
      <w:r w:rsidRPr="00B303AA">
        <w:rPr>
          <w:i/>
          <w:iCs/>
          <w:noProof/>
          <w:sz w:val="20"/>
          <w:szCs w:val="20"/>
        </w:rPr>
        <w:t>Langauge Awareness, Vol. 22, No. 4</w:t>
      </w:r>
      <w:r w:rsidRPr="00B303AA">
        <w:rPr>
          <w:noProof/>
          <w:sz w:val="20"/>
          <w:szCs w:val="20"/>
        </w:rPr>
        <w:t>, 338-352</w:t>
      </w:r>
    </w:p>
    <w:p w14:paraId="67E2EF60" w14:textId="77777777" w:rsidR="00B303AA" w:rsidRPr="00B303AA" w:rsidRDefault="00B303AA" w:rsidP="00B303AA">
      <w:pPr>
        <w:tabs>
          <w:tab w:val="left" w:pos="4037"/>
        </w:tabs>
        <w:spacing w:before="1"/>
        <w:ind w:left="720" w:right="111" w:hanging="711"/>
        <w:jc w:val="both"/>
        <w:rPr>
          <w:noProof/>
          <w:sz w:val="20"/>
          <w:szCs w:val="20"/>
        </w:rPr>
      </w:pPr>
      <w:r w:rsidRPr="00B303AA">
        <w:rPr>
          <w:noProof/>
          <w:sz w:val="20"/>
          <w:szCs w:val="20"/>
        </w:rPr>
        <w:t>Ali, R., Mahmood, H., &amp; Shahrzad, H. (2016). Validating a Context-specific Teacher Critical Pedagogy Questionnaire.</w:t>
      </w:r>
      <w:r w:rsidRPr="00B303AA">
        <w:rPr>
          <w:i/>
          <w:iCs/>
          <w:noProof/>
          <w:sz w:val="20"/>
          <w:szCs w:val="20"/>
        </w:rPr>
        <w:t xml:space="preserve"> International Journal of Research Studies in Language Learning, Vol. 5, No. 4, </w:t>
      </w:r>
      <w:r w:rsidRPr="00B303AA">
        <w:rPr>
          <w:noProof/>
          <w:sz w:val="20"/>
          <w:szCs w:val="20"/>
        </w:rPr>
        <w:t>3 - 12</w:t>
      </w:r>
    </w:p>
    <w:p w14:paraId="08063029" w14:textId="77777777" w:rsidR="00B303AA" w:rsidRPr="00B303AA" w:rsidRDefault="00B303AA" w:rsidP="00B303AA">
      <w:pPr>
        <w:ind w:left="709" w:hanging="709"/>
        <w:jc w:val="both"/>
        <w:rPr>
          <w:sz w:val="20"/>
          <w:szCs w:val="20"/>
        </w:rPr>
      </w:pPr>
      <w:r w:rsidRPr="00B303AA">
        <w:rPr>
          <w:sz w:val="20"/>
          <w:szCs w:val="20"/>
        </w:rPr>
        <w:t xml:space="preserve">Alvarez, Z., Calvete, M., &amp; Sarasa, M. C. (2012). Integrating critical pedagogy theory and practice: Classroom experiences in argentinian EFL teacher education. </w:t>
      </w:r>
      <w:r w:rsidRPr="00B303AA">
        <w:rPr>
          <w:i/>
          <w:iCs/>
          <w:sz w:val="20"/>
          <w:szCs w:val="20"/>
        </w:rPr>
        <w:t>Journal of educators, teachers, and trainer vol. 3</w:t>
      </w:r>
      <w:r w:rsidRPr="00B303AA">
        <w:rPr>
          <w:sz w:val="20"/>
          <w:szCs w:val="20"/>
        </w:rPr>
        <w:t xml:space="preserve"> , 61 - 70.</w:t>
      </w:r>
    </w:p>
    <w:p w14:paraId="70725927" w14:textId="77777777" w:rsidR="00B303AA" w:rsidRPr="00B303AA" w:rsidRDefault="00B303AA" w:rsidP="00B303AA">
      <w:pPr>
        <w:ind w:left="709" w:hanging="709"/>
        <w:jc w:val="both"/>
        <w:rPr>
          <w:sz w:val="20"/>
          <w:szCs w:val="20"/>
        </w:rPr>
      </w:pPr>
      <w:r w:rsidRPr="00B303AA">
        <w:rPr>
          <w:sz w:val="20"/>
          <w:szCs w:val="20"/>
        </w:rPr>
        <w:t xml:space="preserve">Alwasilah, A. C. (2004). </w:t>
      </w:r>
      <w:r w:rsidRPr="00B303AA">
        <w:rPr>
          <w:i/>
          <w:iCs/>
          <w:sz w:val="20"/>
          <w:szCs w:val="20"/>
        </w:rPr>
        <w:t>Perspektif pendidikan bahasa inggris di indonesia dalam konteks persaingan global. Bandung</w:t>
      </w:r>
      <w:r w:rsidRPr="00B303AA">
        <w:rPr>
          <w:sz w:val="20"/>
          <w:szCs w:val="20"/>
        </w:rPr>
        <w:t>: CV. Andira.</w:t>
      </w:r>
    </w:p>
    <w:p w14:paraId="6DD31936" w14:textId="77777777" w:rsidR="00B303AA" w:rsidRPr="00B303AA" w:rsidRDefault="00B303AA" w:rsidP="00B303AA">
      <w:pPr>
        <w:ind w:left="709" w:hanging="709"/>
        <w:jc w:val="both"/>
        <w:rPr>
          <w:sz w:val="20"/>
          <w:szCs w:val="20"/>
        </w:rPr>
      </w:pPr>
      <w:r w:rsidRPr="00B303AA">
        <w:rPr>
          <w:sz w:val="20"/>
          <w:szCs w:val="20"/>
        </w:rPr>
        <w:t xml:space="preserve">Alwasilah, A. C. (2012). </w:t>
      </w:r>
      <w:r w:rsidRPr="00B303AA">
        <w:rPr>
          <w:i/>
          <w:iCs/>
          <w:sz w:val="20"/>
          <w:szCs w:val="20"/>
        </w:rPr>
        <w:t>Pokoknya kualitatif</w:t>
      </w:r>
      <w:r w:rsidRPr="00B303AA">
        <w:rPr>
          <w:sz w:val="20"/>
          <w:szCs w:val="20"/>
        </w:rPr>
        <w:t>. Bandung: PT Dunia Pustaka Jaya.</w:t>
      </w:r>
    </w:p>
    <w:p w14:paraId="567B2A1F" w14:textId="77777777" w:rsidR="00B303AA" w:rsidRPr="00B303AA" w:rsidRDefault="00B303AA" w:rsidP="00B303AA">
      <w:pPr>
        <w:ind w:left="709" w:hanging="709"/>
        <w:jc w:val="both"/>
        <w:rPr>
          <w:noProof/>
          <w:sz w:val="20"/>
          <w:szCs w:val="20"/>
        </w:rPr>
      </w:pPr>
      <w:r w:rsidRPr="00B303AA">
        <w:rPr>
          <w:noProof/>
          <w:sz w:val="20"/>
          <w:szCs w:val="20"/>
        </w:rPr>
        <w:t xml:space="preserve">Armitage, A. (2013). Conscientization, Dialogue, and Collaborative Problem Based Learning. </w:t>
      </w:r>
      <w:r w:rsidRPr="00B303AA">
        <w:rPr>
          <w:i/>
          <w:iCs/>
          <w:noProof/>
          <w:sz w:val="20"/>
          <w:szCs w:val="20"/>
        </w:rPr>
        <w:t xml:space="preserve">Journal of Problem Based Learning in Higher Education, Vol. 1, No.1, </w:t>
      </w:r>
      <w:r w:rsidRPr="00B303AA">
        <w:rPr>
          <w:noProof/>
          <w:sz w:val="20"/>
          <w:szCs w:val="20"/>
        </w:rPr>
        <w:t>1 – 18</w:t>
      </w:r>
    </w:p>
    <w:p w14:paraId="4E0BCAB1" w14:textId="77777777" w:rsidR="00B303AA" w:rsidRPr="00B303AA" w:rsidRDefault="00B303AA" w:rsidP="00B303AA">
      <w:pPr>
        <w:tabs>
          <w:tab w:val="left" w:pos="4037"/>
        </w:tabs>
        <w:spacing w:before="1"/>
        <w:ind w:left="720" w:right="111" w:hanging="711"/>
        <w:jc w:val="both"/>
        <w:rPr>
          <w:sz w:val="20"/>
          <w:szCs w:val="20"/>
        </w:rPr>
      </w:pPr>
      <w:r w:rsidRPr="00B303AA">
        <w:rPr>
          <w:sz w:val="20"/>
          <w:szCs w:val="20"/>
        </w:rPr>
        <w:t>Barlett, L. (</w:t>
      </w:r>
      <w:r w:rsidRPr="00B303AA">
        <w:rPr>
          <w:noProof/>
          <w:sz w:val="20"/>
          <w:szCs w:val="20"/>
        </w:rPr>
        <w:t>2005</w:t>
      </w:r>
      <w:r w:rsidRPr="00B303AA">
        <w:rPr>
          <w:sz w:val="20"/>
          <w:szCs w:val="20"/>
        </w:rPr>
        <w:t xml:space="preserve">). </w:t>
      </w:r>
      <w:r w:rsidRPr="00B303AA">
        <w:rPr>
          <w:noProof/>
          <w:sz w:val="20"/>
          <w:szCs w:val="20"/>
        </w:rPr>
        <w:t>Dialogue</w:t>
      </w:r>
      <w:r w:rsidRPr="00B303AA">
        <w:rPr>
          <w:sz w:val="20"/>
          <w:szCs w:val="20"/>
        </w:rPr>
        <w:t xml:space="preserve">, Knowledge, and Teacher-Student Relation: Freirean Pedagogy in Theory and Practice. </w:t>
      </w:r>
      <w:r w:rsidRPr="00B303AA">
        <w:rPr>
          <w:i/>
          <w:iCs/>
          <w:sz w:val="20"/>
          <w:szCs w:val="20"/>
        </w:rPr>
        <w:t xml:space="preserve">Comparative Education Review, Vol, 49, No. 3, </w:t>
      </w:r>
      <w:r w:rsidRPr="00B303AA">
        <w:rPr>
          <w:sz w:val="20"/>
          <w:szCs w:val="20"/>
        </w:rPr>
        <w:t xml:space="preserve">344 – 364 </w:t>
      </w:r>
    </w:p>
    <w:p w14:paraId="356BC390" w14:textId="77777777" w:rsidR="00B303AA" w:rsidRPr="00B303AA" w:rsidRDefault="00B303AA" w:rsidP="00B303AA">
      <w:pPr>
        <w:tabs>
          <w:tab w:val="left" w:pos="4037"/>
        </w:tabs>
        <w:spacing w:before="1"/>
        <w:ind w:left="720" w:right="111" w:hanging="711"/>
        <w:jc w:val="both"/>
        <w:rPr>
          <w:sz w:val="20"/>
          <w:szCs w:val="20"/>
        </w:rPr>
      </w:pPr>
      <w:r w:rsidRPr="00B303AA">
        <w:rPr>
          <w:noProof/>
          <w:sz w:val="20"/>
          <w:szCs w:val="20"/>
        </w:rPr>
        <w:t>Benites</w:t>
      </w:r>
      <w:r w:rsidRPr="00B303AA">
        <w:rPr>
          <w:sz w:val="20"/>
          <w:szCs w:val="20"/>
        </w:rPr>
        <w:t>, M.A. (2012). Critical Pedagogy and English Language Acquisition</w:t>
      </w:r>
      <w:r w:rsidRPr="00B303AA">
        <w:rPr>
          <w:i/>
          <w:iCs/>
          <w:sz w:val="20"/>
          <w:szCs w:val="20"/>
        </w:rPr>
        <w:t xml:space="preserve">. Polygon Spring 2021, </w:t>
      </w:r>
      <w:r w:rsidRPr="00B303AA">
        <w:rPr>
          <w:sz w:val="20"/>
          <w:szCs w:val="20"/>
        </w:rPr>
        <w:t xml:space="preserve">74 – 84. </w:t>
      </w:r>
    </w:p>
    <w:p w14:paraId="023A4E4C" w14:textId="77777777" w:rsidR="00B303AA" w:rsidRPr="00B303AA" w:rsidRDefault="00B303AA" w:rsidP="00B303AA">
      <w:pPr>
        <w:tabs>
          <w:tab w:val="left" w:pos="4037"/>
        </w:tabs>
        <w:spacing w:before="1"/>
        <w:ind w:left="720" w:right="111" w:hanging="711"/>
        <w:jc w:val="both"/>
        <w:rPr>
          <w:noProof/>
          <w:sz w:val="20"/>
          <w:szCs w:val="20"/>
        </w:rPr>
      </w:pPr>
      <w:r w:rsidRPr="00B303AA">
        <w:rPr>
          <w:noProof/>
          <w:sz w:val="20"/>
          <w:szCs w:val="20"/>
        </w:rPr>
        <w:t xml:space="preserve">Burbules, N.C. &amp; Berk, R. (1999). Critical Thinking and Critical Pedagogy: Relations, Differences, and Limits. In Popkewits, T.S. &amp; Fendler, L. (1991). </w:t>
      </w:r>
      <w:r w:rsidRPr="00B303AA">
        <w:rPr>
          <w:i/>
          <w:iCs/>
          <w:noProof/>
          <w:sz w:val="20"/>
          <w:szCs w:val="20"/>
        </w:rPr>
        <w:t>Critical Theories in Education</w:t>
      </w:r>
      <w:r w:rsidRPr="00B303AA">
        <w:rPr>
          <w:noProof/>
          <w:sz w:val="20"/>
          <w:szCs w:val="20"/>
        </w:rPr>
        <w:t>. New York: Routledge.</w:t>
      </w:r>
    </w:p>
    <w:p w14:paraId="11DA6B11" w14:textId="77777777" w:rsidR="00B303AA" w:rsidRPr="00B303AA" w:rsidRDefault="00B303AA" w:rsidP="00B303AA">
      <w:pPr>
        <w:ind w:left="709" w:hanging="709"/>
        <w:jc w:val="both"/>
        <w:rPr>
          <w:sz w:val="20"/>
          <w:szCs w:val="20"/>
        </w:rPr>
      </w:pPr>
      <w:r w:rsidRPr="00B303AA">
        <w:rPr>
          <w:sz w:val="20"/>
          <w:szCs w:val="20"/>
        </w:rPr>
        <w:t xml:space="preserve">Crookes , G.(2010). The practicality and relevance of second language critical pedagogy. </w:t>
      </w:r>
      <w:r w:rsidRPr="00B303AA">
        <w:rPr>
          <w:i/>
          <w:iCs/>
          <w:sz w:val="20"/>
          <w:szCs w:val="20"/>
        </w:rPr>
        <w:t>Language Teaching, 43,</w:t>
      </w:r>
      <w:r w:rsidRPr="00B303AA">
        <w:rPr>
          <w:sz w:val="20"/>
          <w:szCs w:val="20"/>
        </w:rPr>
        <w:t xml:space="preserve"> pp 333348 doi:10.1017/S0261444809990292</w:t>
      </w:r>
    </w:p>
    <w:p w14:paraId="034A1A2A" w14:textId="77777777" w:rsidR="00B303AA" w:rsidRPr="00B303AA" w:rsidRDefault="00B303AA" w:rsidP="00B303AA">
      <w:pPr>
        <w:tabs>
          <w:tab w:val="left" w:pos="4037"/>
        </w:tabs>
        <w:spacing w:before="1"/>
        <w:ind w:left="720" w:right="111" w:hanging="711"/>
        <w:jc w:val="both"/>
        <w:rPr>
          <w:noProof/>
          <w:sz w:val="20"/>
          <w:szCs w:val="20"/>
        </w:rPr>
      </w:pPr>
      <w:r w:rsidRPr="00B303AA">
        <w:rPr>
          <w:noProof/>
          <w:sz w:val="20"/>
          <w:szCs w:val="20"/>
        </w:rPr>
        <w:t>Crookes, G. (2012). Critical Pedagogy in Language Teaching. In Ortega (</w:t>
      </w:r>
      <w:r w:rsidRPr="00B303AA">
        <w:rPr>
          <w:i/>
          <w:iCs/>
          <w:noProof/>
          <w:sz w:val="20"/>
          <w:szCs w:val="20"/>
        </w:rPr>
        <w:t>ed</w:t>
      </w:r>
      <w:r w:rsidRPr="00B303AA">
        <w:rPr>
          <w:noProof/>
          <w:sz w:val="20"/>
          <w:szCs w:val="20"/>
        </w:rPr>
        <w:t xml:space="preserve">.). (2012). </w:t>
      </w:r>
      <w:r w:rsidRPr="00B303AA">
        <w:rPr>
          <w:i/>
          <w:iCs/>
          <w:noProof/>
          <w:sz w:val="20"/>
          <w:szCs w:val="20"/>
        </w:rPr>
        <w:t xml:space="preserve">The Encyclopedia of Applied Linguistics. </w:t>
      </w:r>
      <w:r w:rsidRPr="00B303AA">
        <w:rPr>
          <w:noProof/>
          <w:sz w:val="20"/>
          <w:szCs w:val="20"/>
        </w:rPr>
        <w:lastRenderedPageBreak/>
        <w:t xml:space="preserve">Wiley/Blackwell. </w:t>
      </w:r>
    </w:p>
    <w:p w14:paraId="4CDA5D1A" w14:textId="77777777" w:rsidR="00B303AA" w:rsidRPr="00B303AA" w:rsidRDefault="00B303AA" w:rsidP="00B303AA">
      <w:pPr>
        <w:tabs>
          <w:tab w:val="left" w:pos="4037"/>
        </w:tabs>
        <w:spacing w:before="1"/>
        <w:ind w:left="720" w:right="111" w:hanging="711"/>
        <w:jc w:val="both"/>
        <w:rPr>
          <w:noProof/>
          <w:sz w:val="20"/>
          <w:szCs w:val="20"/>
        </w:rPr>
      </w:pPr>
      <w:r w:rsidRPr="00B303AA">
        <w:rPr>
          <w:noProof/>
          <w:sz w:val="20"/>
          <w:szCs w:val="20"/>
        </w:rPr>
        <w:t xml:space="preserve">Crookes, G. (2022). Critical Language Pedagogy. </w:t>
      </w:r>
      <w:r w:rsidRPr="00B303AA">
        <w:rPr>
          <w:i/>
          <w:iCs/>
          <w:noProof/>
          <w:sz w:val="20"/>
          <w:szCs w:val="20"/>
        </w:rPr>
        <w:t xml:space="preserve"> Language Teaching, 55, </w:t>
      </w:r>
      <w:r w:rsidRPr="00B303AA">
        <w:rPr>
          <w:noProof/>
          <w:sz w:val="20"/>
          <w:szCs w:val="20"/>
        </w:rPr>
        <w:t>46 – 63</w:t>
      </w:r>
    </w:p>
    <w:p w14:paraId="5EC59422" w14:textId="77777777" w:rsidR="00B303AA" w:rsidRPr="00B303AA" w:rsidRDefault="00B303AA" w:rsidP="00B303AA">
      <w:pPr>
        <w:ind w:left="709" w:hanging="709"/>
        <w:jc w:val="both"/>
        <w:rPr>
          <w:sz w:val="20"/>
          <w:szCs w:val="20"/>
        </w:rPr>
      </w:pPr>
      <w:r w:rsidRPr="00B303AA">
        <w:rPr>
          <w:sz w:val="20"/>
          <w:szCs w:val="20"/>
        </w:rPr>
        <w:t xml:space="preserve">Emilia, E. (2005). </w:t>
      </w:r>
      <w:r w:rsidRPr="00B303AA">
        <w:rPr>
          <w:i/>
          <w:iCs/>
          <w:sz w:val="20"/>
          <w:szCs w:val="20"/>
        </w:rPr>
        <w:t>A genre-based approach to teaching academic writing in a tertiary EFl context in Indonesia</w:t>
      </w:r>
      <w:r w:rsidRPr="00B303AA">
        <w:rPr>
          <w:sz w:val="20"/>
          <w:szCs w:val="20"/>
        </w:rPr>
        <w:t>, an unpublished text - A disertation. Melbroune: The University of Melbroune.</w:t>
      </w:r>
    </w:p>
    <w:p w14:paraId="5CD0B298" w14:textId="77777777" w:rsidR="00B303AA" w:rsidRPr="00B303AA" w:rsidRDefault="00B303AA" w:rsidP="00B303AA">
      <w:pPr>
        <w:ind w:left="709" w:hanging="709"/>
        <w:jc w:val="both"/>
        <w:rPr>
          <w:sz w:val="20"/>
          <w:szCs w:val="20"/>
        </w:rPr>
      </w:pPr>
      <w:r w:rsidRPr="00B303AA">
        <w:rPr>
          <w:sz w:val="20"/>
          <w:szCs w:val="20"/>
        </w:rPr>
        <w:t xml:space="preserve">Fraenkel, J. R., Hyun, H. H., &amp; Wallen, N. E. (2012). </w:t>
      </w:r>
      <w:r w:rsidRPr="00B303AA">
        <w:rPr>
          <w:i/>
          <w:iCs/>
          <w:sz w:val="20"/>
          <w:szCs w:val="20"/>
        </w:rPr>
        <w:t>How to design and evaluate research in education</w:t>
      </w:r>
      <w:r w:rsidRPr="00B303AA">
        <w:rPr>
          <w:sz w:val="20"/>
          <w:szCs w:val="20"/>
        </w:rPr>
        <w:t>. New York: McGraw-Hill.</w:t>
      </w:r>
    </w:p>
    <w:p w14:paraId="4D604DAE" w14:textId="77777777" w:rsidR="00B303AA" w:rsidRPr="00B303AA" w:rsidRDefault="00B303AA" w:rsidP="00B303AA">
      <w:pPr>
        <w:ind w:left="709" w:hanging="709"/>
        <w:jc w:val="both"/>
        <w:rPr>
          <w:sz w:val="20"/>
          <w:szCs w:val="20"/>
        </w:rPr>
      </w:pPr>
      <w:r w:rsidRPr="00B303AA">
        <w:rPr>
          <w:sz w:val="20"/>
          <w:szCs w:val="20"/>
        </w:rPr>
        <w:t xml:space="preserve">Freire, P. (2005a). </w:t>
      </w:r>
      <w:r w:rsidRPr="00B303AA">
        <w:rPr>
          <w:i/>
          <w:iCs/>
          <w:sz w:val="20"/>
          <w:szCs w:val="20"/>
        </w:rPr>
        <w:t>Pedagogy of the oppressed</w:t>
      </w:r>
      <w:r w:rsidRPr="00B303AA">
        <w:rPr>
          <w:sz w:val="20"/>
          <w:szCs w:val="20"/>
        </w:rPr>
        <w:t>. New York: Continuum.</w:t>
      </w:r>
    </w:p>
    <w:p w14:paraId="0290EB99" w14:textId="77777777" w:rsidR="00B303AA" w:rsidRPr="00B303AA" w:rsidRDefault="00B303AA" w:rsidP="00B303AA">
      <w:pPr>
        <w:ind w:left="709" w:hanging="709"/>
        <w:jc w:val="both"/>
        <w:rPr>
          <w:sz w:val="20"/>
          <w:szCs w:val="20"/>
        </w:rPr>
      </w:pPr>
      <w:r w:rsidRPr="00B303AA">
        <w:rPr>
          <w:sz w:val="20"/>
          <w:szCs w:val="20"/>
        </w:rPr>
        <w:t xml:space="preserve">Freire, P. (2005b). </w:t>
      </w:r>
      <w:r w:rsidRPr="00B303AA">
        <w:rPr>
          <w:i/>
          <w:iCs/>
          <w:sz w:val="20"/>
          <w:szCs w:val="20"/>
        </w:rPr>
        <w:t>Education for critical consciousness</w:t>
      </w:r>
      <w:r w:rsidRPr="00B303AA">
        <w:rPr>
          <w:sz w:val="20"/>
          <w:szCs w:val="20"/>
        </w:rPr>
        <w:t>. New York: Continuum.</w:t>
      </w:r>
    </w:p>
    <w:p w14:paraId="0CAB08D4" w14:textId="77777777" w:rsidR="00B303AA" w:rsidRPr="00B303AA" w:rsidRDefault="00B303AA" w:rsidP="00B303AA">
      <w:pPr>
        <w:ind w:left="709" w:hanging="709"/>
        <w:jc w:val="both"/>
        <w:rPr>
          <w:sz w:val="20"/>
          <w:szCs w:val="20"/>
        </w:rPr>
      </w:pPr>
      <w:r w:rsidRPr="00B303AA">
        <w:rPr>
          <w:sz w:val="20"/>
          <w:szCs w:val="20"/>
        </w:rPr>
        <w:t xml:space="preserve">Freire, P., &amp; Macedo, D. (2005). </w:t>
      </w:r>
      <w:r w:rsidRPr="00B303AA">
        <w:rPr>
          <w:i/>
          <w:iCs/>
          <w:sz w:val="20"/>
          <w:szCs w:val="20"/>
        </w:rPr>
        <w:t>Literacy: Reading the word and the world</w:t>
      </w:r>
      <w:r w:rsidRPr="00B303AA">
        <w:rPr>
          <w:sz w:val="20"/>
          <w:szCs w:val="20"/>
        </w:rPr>
        <w:t>. London: Routledge</w:t>
      </w:r>
    </w:p>
    <w:p w14:paraId="187E61FF" w14:textId="77777777" w:rsidR="00B303AA" w:rsidRPr="00B303AA" w:rsidRDefault="00B303AA" w:rsidP="00B303AA">
      <w:pPr>
        <w:ind w:left="709" w:hanging="709"/>
        <w:jc w:val="both"/>
        <w:rPr>
          <w:sz w:val="20"/>
          <w:szCs w:val="20"/>
        </w:rPr>
      </w:pPr>
      <w:r w:rsidRPr="00B303AA">
        <w:rPr>
          <w:sz w:val="20"/>
          <w:szCs w:val="20"/>
        </w:rPr>
        <w:t xml:space="preserve">Giroux, H. A. (1997). </w:t>
      </w:r>
      <w:r w:rsidRPr="00B303AA">
        <w:rPr>
          <w:i/>
          <w:iCs/>
          <w:sz w:val="20"/>
          <w:szCs w:val="20"/>
        </w:rPr>
        <w:t>Pedagogy and the politics of hope</w:t>
      </w:r>
      <w:r w:rsidRPr="00B303AA">
        <w:rPr>
          <w:sz w:val="20"/>
          <w:szCs w:val="20"/>
        </w:rPr>
        <w:t>. Oxford: Westview.</w:t>
      </w:r>
    </w:p>
    <w:p w14:paraId="438227DA" w14:textId="77777777" w:rsidR="00B303AA" w:rsidRPr="00B303AA" w:rsidRDefault="00B303AA" w:rsidP="00B303AA">
      <w:pPr>
        <w:ind w:left="709" w:hanging="709"/>
        <w:jc w:val="both"/>
        <w:rPr>
          <w:sz w:val="20"/>
          <w:szCs w:val="20"/>
        </w:rPr>
      </w:pPr>
      <w:r w:rsidRPr="00B303AA">
        <w:rPr>
          <w:sz w:val="20"/>
          <w:szCs w:val="20"/>
        </w:rPr>
        <w:t xml:space="preserve">Hayati, N. (2010). Empowering non-native english speaking teachers through critical pedagogy. </w:t>
      </w:r>
      <w:r w:rsidRPr="00B303AA">
        <w:rPr>
          <w:i/>
          <w:iCs/>
          <w:sz w:val="20"/>
          <w:szCs w:val="20"/>
        </w:rPr>
        <w:t>TEFLIN journal volume 21, number 1, february</w:t>
      </w:r>
      <w:r w:rsidRPr="00B303AA">
        <w:rPr>
          <w:sz w:val="20"/>
          <w:szCs w:val="20"/>
        </w:rPr>
        <w:t xml:space="preserve"> , 78 - 89.</w:t>
      </w:r>
    </w:p>
    <w:p w14:paraId="733FB7F0" w14:textId="77777777" w:rsidR="00B303AA" w:rsidRPr="00B303AA" w:rsidRDefault="00B303AA" w:rsidP="00B303AA">
      <w:pPr>
        <w:tabs>
          <w:tab w:val="left" w:pos="4037"/>
        </w:tabs>
        <w:spacing w:before="1"/>
        <w:ind w:left="720" w:right="111" w:hanging="711"/>
        <w:jc w:val="both"/>
        <w:rPr>
          <w:noProof/>
          <w:sz w:val="20"/>
          <w:szCs w:val="20"/>
        </w:rPr>
      </w:pPr>
      <w:r w:rsidRPr="00B303AA">
        <w:rPr>
          <w:noProof/>
          <w:sz w:val="20"/>
          <w:szCs w:val="20"/>
        </w:rPr>
        <w:t xml:space="preserve">Herrera-Molina, J. &amp; Portilla-Quintero, B. (2021). Critical Pedagogy Trends in English Language Cteaching. </w:t>
      </w:r>
      <w:r w:rsidRPr="00B303AA">
        <w:rPr>
          <w:i/>
          <w:iCs/>
          <w:noProof/>
          <w:sz w:val="20"/>
          <w:szCs w:val="20"/>
        </w:rPr>
        <w:t>Colomb. Appl. Linguist. J., Vol. 23, No. 2</w:t>
      </w:r>
      <w:r w:rsidRPr="00B303AA">
        <w:rPr>
          <w:noProof/>
          <w:sz w:val="20"/>
          <w:szCs w:val="20"/>
        </w:rPr>
        <w:t>, 155 – 165</w:t>
      </w:r>
    </w:p>
    <w:p w14:paraId="6E805D55" w14:textId="77777777" w:rsidR="00B303AA" w:rsidRPr="00B303AA" w:rsidRDefault="00B303AA" w:rsidP="00B303AA">
      <w:pPr>
        <w:ind w:left="709" w:hanging="709"/>
        <w:jc w:val="both"/>
        <w:rPr>
          <w:sz w:val="20"/>
          <w:szCs w:val="20"/>
        </w:rPr>
      </w:pPr>
      <w:r w:rsidRPr="00B303AA">
        <w:rPr>
          <w:sz w:val="20"/>
          <w:szCs w:val="20"/>
        </w:rPr>
        <w:t xml:space="preserve">Ikhtiar, T. P. W. (2016). </w:t>
      </w:r>
      <w:r w:rsidRPr="00B303AA">
        <w:rPr>
          <w:i/>
          <w:iCs/>
          <w:sz w:val="20"/>
          <w:szCs w:val="20"/>
        </w:rPr>
        <w:t>Incorporating Critical Pedagogy through Problem Posing, Dialogue, and Conscientization in A Junior High School in Salatiga</w:t>
      </w:r>
      <w:r w:rsidRPr="00B303AA">
        <w:rPr>
          <w:sz w:val="20"/>
          <w:szCs w:val="20"/>
        </w:rPr>
        <w:t>. Salatiga: English Department Satya Wacana Christian University – Unpublished.</w:t>
      </w:r>
    </w:p>
    <w:p w14:paraId="4D897C7D" w14:textId="77777777" w:rsidR="00B303AA" w:rsidRPr="00B303AA" w:rsidRDefault="00B303AA" w:rsidP="00B303AA">
      <w:pPr>
        <w:tabs>
          <w:tab w:val="left" w:pos="4037"/>
        </w:tabs>
        <w:spacing w:before="1"/>
        <w:ind w:left="720" w:right="111" w:hanging="711"/>
        <w:jc w:val="both"/>
        <w:rPr>
          <w:rFonts w:eastAsia="Batang"/>
          <w:sz w:val="20"/>
          <w:szCs w:val="20"/>
        </w:rPr>
      </w:pPr>
      <w:r w:rsidRPr="00B303AA">
        <w:rPr>
          <w:noProof/>
          <w:sz w:val="20"/>
          <w:szCs w:val="20"/>
        </w:rPr>
        <w:t xml:space="preserve">Jeon, J. (2009). Reflecting Critical Pedagogy: Its application to EFl context and criticism. </w:t>
      </w:r>
      <w:r w:rsidRPr="00B303AA">
        <w:rPr>
          <w:i/>
          <w:iCs/>
          <w:noProof/>
          <w:sz w:val="20"/>
          <w:szCs w:val="20"/>
        </w:rPr>
        <w:t>English Language &amp; Literature Teaching, 15(3),</w:t>
      </w:r>
      <w:r w:rsidRPr="00B303AA">
        <w:rPr>
          <w:noProof/>
          <w:sz w:val="20"/>
          <w:szCs w:val="20"/>
        </w:rPr>
        <w:t xml:space="preserve"> 59-81.</w:t>
      </w:r>
    </w:p>
    <w:p w14:paraId="2E79B5EE" w14:textId="77777777" w:rsidR="00B303AA" w:rsidRPr="00B303AA" w:rsidRDefault="00B303AA" w:rsidP="00B303AA">
      <w:pPr>
        <w:ind w:left="709" w:hanging="709"/>
        <w:jc w:val="both"/>
        <w:rPr>
          <w:sz w:val="20"/>
          <w:szCs w:val="20"/>
        </w:rPr>
      </w:pPr>
      <w:r w:rsidRPr="00B303AA">
        <w:rPr>
          <w:sz w:val="20"/>
          <w:szCs w:val="20"/>
        </w:rPr>
        <w:t xml:space="preserve">Jeyaraj, J. J. &amp; Harland, T. (2019). Linking Critical Pedagogy Practice to Higher Education in Malaysia: Insight from English language teachers. </w:t>
      </w:r>
      <w:r w:rsidRPr="00B303AA">
        <w:rPr>
          <w:i/>
          <w:iCs/>
          <w:sz w:val="20"/>
          <w:szCs w:val="20"/>
        </w:rPr>
        <w:t>Asian Pasific Journal of Education</w:t>
      </w:r>
      <w:r w:rsidRPr="00B303AA">
        <w:rPr>
          <w:sz w:val="20"/>
          <w:szCs w:val="20"/>
        </w:rPr>
        <w:t>. https://doi.org/10.1080/02188791.2019.15725.</w:t>
      </w:r>
    </w:p>
    <w:p w14:paraId="0E45423B" w14:textId="77777777" w:rsidR="00B303AA" w:rsidRPr="00B303AA" w:rsidRDefault="00B303AA" w:rsidP="00B303AA">
      <w:pPr>
        <w:ind w:left="709" w:hanging="709"/>
        <w:jc w:val="both"/>
        <w:rPr>
          <w:sz w:val="20"/>
          <w:szCs w:val="20"/>
        </w:rPr>
      </w:pPr>
      <w:r w:rsidRPr="00B303AA">
        <w:rPr>
          <w:sz w:val="20"/>
          <w:szCs w:val="20"/>
        </w:rPr>
        <w:t xml:space="preserve">Kaufmann, J. J. (2010). The practice of dialogue in critical pedagogy. </w:t>
      </w:r>
      <w:r w:rsidRPr="00B303AA">
        <w:rPr>
          <w:i/>
          <w:iCs/>
          <w:sz w:val="20"/>
          <w:szCs w:val="20"/>
        </w:rPr>
        <w:t xml:space="preserve">Adult education quarterly 60(5) </w:t>
      </w:r>
      <w:r w:rsidRPr="00B303AA">
        <w:rPr>
          <w:sz w:val="20"/>
          <w:szCs w:val="20"/>
        </w:rPr>
        <w:t>, 456-476.</w:t>
      </w:r>
    </w:p>
    <w:p w14:paraId="120A91F3" w14:textId="77777777" w:rsidR="00B303AA" w:rsidRPr="00B303AA" w:rsidRDefault="00B303AA" w:rsidP="00B303AA">
      <w:pPr>
        <w:ind w:left="709" w:hanging="709"/>
        <w:jc w:val="both"/>
        <w:rPr>
          <w:noProof/>
          <w:sz w:val="20"/>
          <w:szCs w:val="20"/>
        </w:rPr>
      </w:pPr>
      <w:r w:rsidRPr="00B303AA">
        <w:rPr>
          <w:sz w:val="20"/>
          <w:szCs w:val="20"/>
        </w:rPr>
        <w:t>Kavenuke</w:t>
      </w:r>
      <w:r w:rsidRPr="00B303AA">
        <w:rPr>
          <w:noProof/>
          <w:sz w:val="20"/>
          <w:szCs w:val="20"/>
        </w:rPr>
        <w:t xml:space="preserve">, P.S. &amp; Muthanna, A. (2021). Teacher Educators’ Perceptions and Challenges of Using Critical Pedagogy: A case study of higher teacher education in Tanzania. </w:t>
      </w:r>
      <w:r w:rsidRPr="00B303AA">
        <w:rPr>
          <w:i/>
          <w:iCs/>
          <w:noProof/>
          <w:sz w:val="20"/>
          <w:szCs w:val="20"/>
        </w:rPr>
        <w:t xml:space="preserve">Journal fo University Teaching &amp; Learning Practice, Vol. 18, Issue 4, Article 10, </w:t>
      </w:r>
      <w:r w:rsidRPr="00B303AA">
        <w:rPr>
          <w:noProof/>
          <w:sz w:val="20"/>
          <w:szCs w:val="20"/>
        </w:rPr>
        <w:t>1 – 17.</w:t>
      </w:r>
    </w:p>
    <w:p w14:paraId="3A8DD9D0" w14:textId="77777777" w:rsidR="00B303AA" w:rsidRPr="00B303AA" w:rsidRDefault="00B303AA" w:rsidP="00B303AA">
      <w:pPr>
        <w:ind w:left="709" w:hanging="709"/>
        <w:jc w:val="both"/>
        <w:rPr>
          <w:sz w:val="20"/>
          <w:szCs w:val="20"/>
        </w:rPr>
      </w:pPr>
      <w:r w:rsidRPr="00B303AA">
        <w:rPr>
          <w:sz w:val="20"/>
          <w:szCs w:val="20"/>
        </w:rPr>
        <w:t>Kincheloe, J. L. (2008</w:t>
      </w:r>
      <w:r w:rsidRPr="00B303AA">
        <w:rPr>
          <w:i/>
          <w:iCs/>
          <w:sz w:val="20"/>
          <w:szCs w:val="20"/>
        </w:rPr>
        <w:t>). Knowledge and critical pedagogy: An introduction</w:t>
      </w:r>
      <w:r w:rsidRPr="00B303AA">
        <w:rPr>
          <w:sz w:val="20"/>
          <w:szCs w:val="20"/>
        </w:rPr>
        <w:t>. Montreal: Springer.</w:t>
      </w:r>
    </w:p>
    <w:p w14:paraId="6EE9E5CA" w14:textId="77777777" w:rsidR="00B303AA" w:rsidRPr="00B303AA" w:rsidRDefault="00B303AA" w:rsidP="00B303AA">
      <w:pPr>
        <w:ind w:left="709" w:hanging="709"/>
        <w:jc w:val="both"/>
        <w:rPr>
          <w:noProof/>
          <w:sz w:val="20"/>
          <w:szCs w:val="20"/>
        </w:rPr>
      </w:pPr>
      <w:r w:rsidRPr="00B303AA">
        <w:rPr>
          <w:sz w:val="20"/>
          <w:szCs w:val="20"/>
        </w:rPr>
        <w:t>Larson</w:t>
      </w:r>
      <w:r w:rsidRPr="00B303AA">
        <w:rPr>
          <w:noProof/>
          <w:sz w:val="20"/>
          <w:szCs w:val="20"/>
        </w:rPr>
        <w:t xml:space="preserve">, K. R. (2014). Critical pedagogy(ies) for ELT in indonesia. </w:t>
      </w:r>
      <w:r w:rsidRPr="00B303AA">
        <w:rPr>
          <w:i/>
          <w:noProof/>
          <w:sz w:val="20"/>
          <w:szCs w:val="20"/>
        </w:rPr>
        <w:t>TEFLIN journal, 25(1)</w:t>
      </w:r>
      <w:r w:rsidRPr="00B303AA">
        <w:rPr>
          <w:noProof/>
          <w:sz w:val="20"/>
          <w:szCs w:val="20"/>
        </w:rPr>
        <w:t xml:space="preserve"> , 122-138.</w:t>
      </w:r>
    </w:p>
    <w:p w14:paraId="1E215F6F" w14:textId="77777777" w:rsidR="00B303AA" w:rsidRPr="00B303AA" w:rsidRDefault="00B303AA" w:rsidP="00B303AA">
      <w:pPr>
        <w:ind w:left="709" w:hanging="709"/>
        <w:jc w:val="both"/>
        <w:rPr>
          <w:rStyle w:val="Hyperlink"/>
          <w:sz w:val="20"/>
          <w:szCs w:val="20"/>
        </w:rPr>
      </w:pPr>
      <w:r w:rsidRPr="00B303AA">
        <w:rPr>
          <w:noProof/>
          <w:sz w:val="20"/>
          <w:szCs w:val="20"/>
        </w:rPr>
        <w:t>Leal, P. (</w:t>
      </w:r>
      <w:r w:rsidRPr="00B303AA">
        <w:rPr>
          <w:sz w:val="20"/>
          <w:szCs w:val="20"/>
        </w:rPr>
        <w:t>2021</w:t>
      </w:r>
      <w:r w:rsidRPr="00B303AA">
        <w:rPr>
          <w:noProof/>
          <w:sz w:val="20"/>
          <w:szCs w:val="20"/>
        </w:rPr>
        <w:t xml:space="preserve">). The Development of the Teahcer Attitudes to discribmination in Language Education Scale: A measurement tool of critical consciousness for language teachers. </w:t>
      </w:r>
      <w:r w:rsidRPr="00B303AA">
        <w:rPr>
          <w:i/>
          <w:iCs/>
          <w:noProof/>
          <w:sz w:val="20"/>
          <w:szCs w:val="20"/>
        </w:rPr>
        <w:t xml:space="preserve">Education Sciences, 11, 200, </w:t>
      </w:r>
      <w:r w:rsidRPr="00B303AA">
        <w:rPr>
          <w:rStyle w:val="Hyperlink"/>
          <w:sz w:val="20"/>
          <w:szCs w:val="20"/>
        </w:rPr>
        <w:t xml:space="preserve"> </w:t>
      </w:r>
      <w:hyperlink r:id="rId12" w:history="1">
        <w:r w:rsidRPr="00B303AA">
          <w:rPr>
            <w:rStyle w:val="Hyperlink"/>
            <w:sz w:val="20"/>
            <w:szCs w:val="20"/>
          </w:rPr>
          <w:t>https://doi.org/10.3390/educsci11050200</w:t>
        </w:r>
      </w:hyperlink>
    </w:p>
    <w:p w14:paraId="0156F248" w14:textId="77777777" w:rsidR="00B303AA" w:rsidRPr="00B303AA" w:rsidRDefault="00B303AA" w:rsidP="00B303AA">
      <w:pPr>
        <w:ind w:left="709" w:hanging="709"/>
        <w:jc w:val="both"/>
        <w:rPr>
          <w:noProof/>
          <w:sz w:val="20"/>
          <w:szCs w:val="20"/>
        </w:rPr>
      </w:pPr>
      <w:r w:rsidRPr="00B303AA">
        <w:rPr>
          <w:sz w:val="20"/>
          <w:szCs w:val="20"/>
        </w:rPr>
        <w:t>Mahmoodabari</w:t>
      </w:r>
      <w:r w:rsidRPr="00B303AA">
        <w:rPr>
          <w:noProof/>
          <w:sz w:val="20"/>
          <w:szCs w:val="20"/>
        </w:rPr>
        <w:t xml:space="preserve">, M. &amp; Khodabakhsh, M.R. (2015). </w:t>
      </w:r>
      <w:r w:rsidRPr="00B303AA">
        <w:rPr>
          <w:noProof/>
          <w:sz w:val="20"/>
          <w:szCs w:val="20"/>
        </w:rPr>
        <w:t xml:space="preserve">Critical Pedagogy: EFL Teachers’ Views, Experience, and Academic Degrees. </w:t>
      </w:r>
      <w:r w:rsidRPr="00B303AA">
        <w:rPr>
          <w:i/>
          <w:iCs/>
          <w:noProof/>
          <w:sz w:val="20"/>
          <w:szCs w:val="20"/>
        </w:rPr>
        <w:t xml:space="preserve">English Language Teaching, Vol. 8, No. 6, </w:t>
      </w:r>
      <w:r w:rsidRPr="00B303AA">
        <w:rPr>
          <w:noProof/>
          <w:sz w:val="20"/>
          <w:szCs w:val="20"/>
        </w:rPr>
        <w:t>100 – 110.</w:t>
      </w:r>
    </w:p>
    <w:p w14:paraId="388BC1A9" w14:textId="77777777" w:rsidR="00B303AA" w:rsidRPr="00B303AA" w:rsidRDefault="00B303AA" w:rsidP="00B303AA">
      <w:pPr>
        <w:ind w:left="709" w:hanging="709"/>
        <w:jc w:val="both"/>
        <w:rPr>
          <w:sz w:val="20"/>
          <w:szCs w:val="20"/>
        </w:rPr>
      </w:pPr>
      <w:r w:rsidRPr="00B303AA">
        <w:rPr>
          <w:sz w:val="20"/>
          <w:szCs w:val="20"/>
        </w:rPr>
        <w:t xml:space="preserve">Mambu, J. E. (2011). English for advocacy purposes: Critical pedagogy's contribution to Indonesia. </w:t>
      </w:r>
      <w:r w:rsidRPr="00B303AA">
        <w:rPr>
          <w:i/>
          <w:iCs/>
          <w:sz w:val="20"/>
          <w:szCs w:val="20"/>
        </w:rPr>
        <w:t>Journal of Asia TEFL vol. 8 no. 4 winter</w:t>
      </w:r>
      <w:r w:rsidRPr="00B303AA">
        <w:rPr>
          <w:sz w:val="20"/>
          <w:szCs w:val="20"/>
        </w:rPr>
        <w:t xml:space="preserve"> , 135-173.</w:t>
      </w:r>
    </w:p>
    <w:p w14:paraId="64913028" w14:textId="77777777" w:rsidR="00B303AA" w:rsidRPr="00B303AA" w:rsidRDefault="00B303AA" w:rsidP="00B303AA">
      <w:pPr>
        <w:ind w:left="709" w:hanging="709"/>
        <w:jc w:val="both"/>
        <w:rPr>
          <w:sz w:val="20"/>
          <w:szCs w:val="20"/>
        </w:rPr>
      </w:pPr>
      <w:r w:rsidRPr="00B303AA">
        <w:rPr>
          <w:sz w:val="20"/>
          <w:szCs w:val="20"/>
        </w:rPr>
        <w:t xml:space="preserve">McLaren, P. (2002). </w:t>
      </w:r>
      <w:r w:rsidRPr="00B303AA">
        <w:rPr>
          <w:i/>
          <w:iCs/>
          <w:sz w:val="20"/>
          <w:szCs w:val="20"/>
        </w:rPr>
        <w:t>Critical pedagogy and predatory culture: Oppositional politics in a postmodern era</w:t>
      </w:r>
      <w:r w:rsidRPr="00B303AA">
        <w:rPr>
          <w:sz w:val="20"/>
          <w:szCs w:val="20"/>
        </w:rPr>
        <w:t>. London: Routledge.</w:t>
      </w:r>
    </w:p>
    <w:p w14:paraId="30F15E7A" w14:textId="77777777" w:rsidR="00B303AA" w:rsidRPr="00B303AA" w:rsidRDefault="00B303AA" w:rsidP="00B303AA">
      <w:pPr>
        <w:ind w:left="709" w:hanging="709"/>
        <w:jc w:val="both"/>
        <w:rPr>
          <w:sz w:val="20"/>
          <w:szCs w:val="20"/>
        </w:rPr>
      </w:pPr>
      <w:r w:rsidRPr="00B303AA">
        <w:rPr>
          <w:sz w:val="20"/>
          <w:szCs w:val="20"/>
        </w:rPr>
        <w:t xml:space="preserve">McLaren, P. (2003). </w:t>
      </w:r>
      <w:r w:rsidRPr="00B303AA">
        <w:rPr>
          <w:i/>
          <w:iCs/>
          <w:sz w:val="20"/>
          <w:szCs w:val="20"/>
        </w:rPr>
        <w:t>Life in cchools: An introduction to critial pedagogy in the foundations of education</w:t>
      </w:r>
      <w:r w:rsidRPr="00B303AA">
        <w:rPr>
          <w:sz w:val="20"/>
          <w:szCs w:val="20"/>
        </w:rPr>
        <w:t>. New York: Allyn and Bacon.</w:t>
      </w:r>
    </w:p>
    <w:p w14:paraId="36C23009" w14:textId="77777777" w:rsidR="00B303AA" w:rsidRPr="00B303AA" w:rsidRDefault="00B303AA" w:rsidP="00B303AA">
      <w:pPr>
        <w:ind w:left="709" w:hanging="709"/>
        <w:jc w:val="both"/>
        <w:rPr>
          <w:sz w:val="20"/>
          <w:szCs w:val="20"/>
        </w:rPr>
      </w:pPr>
      <w:r w:rsidRPr="00B303AA">
        <w:rPr>
          <w:sz w:val="20"/>
          <w:szCs w:val="20"/>
        </w:rPr>
        <w:t xml:space="preserve">Mochinski, T. (2008). </w:t>
      </w:r>
      <w:r w:rsidRPr="00B303AA">
        <w:rPr>
          <w:i/>
          <w:iCs/>
          <w:sz w:val="20"/>
          <w:szCs w:val="20"/>
        </w:rPr>
        <w:t>Critical pedagogy and the everyday classroom</w:t>
      </w:r>
      <w:r w:rsidRPr="00B303AA">
        <w:rPr>
          <w:sz w:val="20"/>
          <w:szCs w:val="20"/>
        </w:rPr>
        <w:t>. New York: Springer.</w:t>
      </w:r>
    </w:p>
    <w:p w14:paraId="52B98835" w14:textId="77777777" w:rsidR="00B303AA" w:rsidRPr="00B303AA" w:rsidRDefault="00B303AA" w:rsidP="00B303AA">
      <w:pPr>
        <w:ind w:left="709" w:hanging="709"/>
        <w:jc w:val="both"/>
        <w:rPr>
          <w:sz w:val="20"/>
          <w:szCs w:val="20"/>
        </w:rPr>
      </w:pPr>
      <w:r w:rsidRPr="00B303AA">
        <w:rPr>
          <w:sz w:val="20"/>
          <w:szCs w:val="20"/>
        </w:rPr>
        <w:t xml:space="preserve">Nixon-Ponder, S. (1995). Using Problem-posing Dialogue. </w:t>
      </w:r>
      <w:r w:rsidRPr="00B303AA">
        <w:rPr>
          <w:i/>
          <w:iCs/>
          <w:sz w:val="20"/>
          <w:szCs w:val="20"/>
        </w:rPr>
        <w:t>Adult Learning, November/December 1995,</w:t>
      </w:r>
      <w:r w:rsidRPr="00B303AA">
        <w:rPr>
          <w:sz w:val="20"/>
          <w:szCs w:val="20"/>
        </w:rPr>
        <w:t xml:space="preserve"> 10 – 12.</w:t>
      </w:r>
    </w:p>
    <w:p w14:paraId="1B4AD25B" w14:textId="77777777" w:rsidR="00B303AA" w:rsidRPr="00B303AA" w:rsidRDefault="00B303AA" w:rsidP="00B303AA">
      <w:pPr>
        <w:ind w:left="709" w:hanging="709"/>
        <w:jc w:val="both"/>
        <w:rPr>
          <w:sz w:val="20"/>
          <w:szCs w:val="20"/>
        </w:rPr>
      </w:pPr>
      <w:r w:rsidRPr="00B303AA">
        <w:rPr>
          <w:sz w:val="20"/>
          <w:szCs w:val="20"/>
        </w:rPr>
        <w:t xml:space="preserve">Paat, J. PH. (2011). Pedagogik Kritis Dan Pengajaran Bahasa Asing. In Tilaar, Paat, Paat (Eds). (2011). </w:t>
      </w:r>
      <w:r w:rsidRPr="00B303AA">
        <w:rPr>
          <w:i/>
          <w:iCs/>
          <w:sz w:val="20"/>
          <w:szCs w:val="20"/>
        </w:rPr>
        <w:t>Pedagogik Kritis: Perkembangan, Substansi, dan Perkkembangannya di Indonesia</w:t>
      </w:r>
      <w:r w:rsidRPr="00B303AA">
        <w:rPr>
          <w:sz w:val="20"/>
          <w:szCs w:val="20"/>
        </w:rPr>
        <w:t xml:space="preserve">. Jakarta: Rineka Cipta. </w:t>
      </w:r>
    </w:p>
    <w:p w14:paraId="38A39263" w14:textId="77777777" w:rsidR="00B303AA" w:rsidRPr="00B303AA" w:rsidRDefault="00B303AA" w:rsidP="00B303AA">
      <w:pPr>
        <w:ind w:left="709" w:hanging="709"/>
        <w:jc w:val="both"/>
        <w:rPr>
          <w:noProof/>
          <w:sz w:val="20"/>
          <w:szCs w:val="20"/>
        </w:rPr>
      </w:pPr>
      <w:r w:rsidRPr="00B303AA">
        <w:rPr>
          <w:sz w:val="20"/>
          <w:szCs w:val="20"/>
        </w:rPr>
        <w:t>Prahani</w:t>
      </w:r>
      <w:r w:rsidRPr="00B303AA">
        <w:rPr>
          <w:noProof/>
          <w:sz w:val="20"/>
          <w:szCs w:val="20"/>
        </w:rPr>
        <w:t>, B.K.</w:t>
      </w:r>
      <w:r w:rsidRPr="00B303AA">
        <w:rPr>
          <w:i/>
          <w:iCs/>
          <w:noProof/>
          <w:sz w:val="20"/>
          <w:szCs w:val="20"/>
        </w:rPr>
        <w:t xml:space="preserve">, </w:t>
      </w:r>
      <w:r w:rsidRPr="00B303AA">
        <w:rPr>
          <w:noProof/>
          <w:sz w:val="20"/>
          <w:szCs w:val="20"/>
        </w:rPr>
        <w:t xml:space="preserve">Deta, U.A., Yasri, M., Astutik, S., Pandiangan, P., Mahtari, S., &amp; Mubarok, H. (2020). The Concept of “Kampus Merdeka” in Accordance with Freire’s Cricial Pedagogy. </w:t>
      </w:r>
      <w:r w:rsidRPr="00B303AA">
        <w:rPr>
          <w:i/>
          <w:iCs/>
          <w:noProof/>
          <w:sz w:val="20"/>
          <w:szCs w:val="20"/>
        </w:rPr>
        <w:t>Studies in Philosophy of Science and Education (SiPoSe), Vol. 1, No. 1</w:t>
      </w:r>
      <w:r w:rsidRPr="00B303AA">
        <w:rPr>
          <w:noProof/>
          <w:sz w:val="20"/>
          <w:szCs w:val="20"/>
        </w:rPr>
        <w:t>, 21 – 37</w:t>
      </w:r>
    </w:p>
    <w:p w14:paraId="7633A86B" w14:textId="77777777" w:rsidR="00B303AA" w:rsidRPr="00B303AA" w:rsidRDefault="00B303AA" w:rsidP="00B303AA">
      <w:pPr>
        <w:ind w:left="709" w:hanging="709"/>
        <w:jc w:val="both"/>
        <w:rPr>
          <w:noProof/>
          <w:sz w:val="20"/>
          <w:szCs w:val="20"/>
        </w:rPr>
      </w:pPr>
      <w:r w:rsidRPr="00B303AA">
        <w:rPr>
          <w:sz w:val="20"/>
          <w:szCs w:val="20"/>
        </w:rPr>
        <w:t>Puspita</w:t>
      </w:r>
      <w:r w:rsidRPr="00B303AA">
        <w:rPr>
          <w:noProof/>
          <w:sz w:val="20"/>
          <w:szCs w:val="20"/>
        </w:rPr>
        <w:t xml:space="preserve">, A.M.H., Mambu, J.E. (2020). Traces of Critical Spiritual Pedagogy in Indonesian EFL Teachers’ Chritian-Based Classes. </w:t>
      </w:r>
      <w:r w:rsidRPr="00B303AA">
        <w:rPr>
          <w:i/>
          <w:iCs/>
          <w:noProof/>
          <w:sz w:val="20"/>
          <w:szCs w:val="20"/>
        </w:rPr>
        <w:t>TEFLIN Journal, Vol. 31, No. 2</w:t>
      </w:r>
      <w:r w:rsidRPr="00B303AA">
        <w:rPr>
          <w:noProof/>
          <w:sz w:val="20"/>
          <w:szCs w:val="20"/>
        </w:rPr>
        <w:t>, 256 – 275.</w:t>
      </w:r>
    </w:p>
    <w:p w14:paraId="36D10383" w14:textId="77777777" w:rsidR="00B303AA" w:rsidRPr="00B303AA" w:rsidRDefault="00B303AA" w:rsidP="00B303AA">
      <w:pPr>
        <w:ind w:left="709" w:hanging="709"/>
        <w:jc w:val="both"/>
        <w:rPr>
          <w:noProof/>
          <w:sz w:val="20"/>
          <w:szCs w:val="20"/>
        </w:rPr>
      </w:pPr>
      <w:r w:rsidRPr="00B303AA">
        <w:rPr>
          <w:sz w:val="20"/>
          <w:szCs w:val="20"/>
        </w:rPr>
        <w:t>Raddawi</w:t>
      </w:r>
      <w:r w:rsidRPr="00B303AA">
        <w:rPr>
          <w:noProof/>
          <w:sz w:val="20"/>
          <w:szCs w:val="20"/>
        </w:rPr>
        <w:t xml:space="preserve">, R. &amp; Troudi, S. (2018). Critical Pedagogy in EFL Teacher Education in the United Arab Emirates: Possibilities and challenges. </w:t>
      </w:r>
      <w:r w:rsidRPr="00B303AA">
        <w:rPr>
          <w:i/>
          <w:iCs/>
          <w:noProof/>
          <w:sz w:val="20"/>
          <w:szCs w:val="20"/>
        </w:rPr>
        <w:t xml:space="preserve">TESOL International Journal, Vol. 13, Issue 1, </w:t>
      </w:r>
      <w:r w:rsidRPr="00B303AA">
        <w:rPr>
          <w:noProof/>
          <w:sz w:val="20"/>
          <w:szCs w:val="20"/>
        </w:rPr>
        <w:t>79 – 99.</w:t>
      </w:r>
    </w:p>
    <w:p w14:paraId="0B808F23" w14:textId="77777777" w:rsidR="00B303AA" w:rsidRPr="00B303AA" w:rsidRDefault="00B303AA" w:rsidP="00B303AA">
      <w:pPr>
        <w:ind w:left="709" w:hanging="709"/>
        <w:jc w:val="both"/>
        <w:rPr>
          <w:noProof/>
          <w:sz w:val="20"/>
          <w:szCs w:val="20"/>
        </w:rPr>
      </w:pPr>
      <w:r w:rsidRPr="00B303AA">
        <w:rPr>
          <w:noProof/>
          <w:sz w:val="20"/>
          <w:szCs w:val="20"/>
        </w:rPr>
        <w:t xml:space="preserve">Riasati, J. M., &amp; Mollei, F. (2012). Critical pedagogy and langauge learning. </w:t>
      </w:r>
      <w:r w:rsidRPr="00B303AA">
        <w:rPr>
          <w:i/>
          <w:noProof/>
          <w:sz w:val="20"/>
          <w:szCs w:val="20"/>
        </w:rPr>
        <w:t>International journal of humanities and social science vol. 21 No. 21</w:t>
      </w:r>
      <w:r w:rsidRPr="00B303AA">
        <w:rPr>
          <w:noProof/>
          <w:sz w:val="20"/>
          <w:szCs w:val="20"/>
        </w:rPr>
        <w:t xml:space="preserve"> , 223-229.</w:t>
      </w:r>
    </w:p>
    <w:p w14:paraId="5DFFDD52" w14:textId="77777777" w:rsidR="00B303AA" w:rsidRPr="00B303AA" w:rsidRDefault="00B303AA" w:rsidP="00B303AA">
      <w:pPr>
        <w:ind w:left="709" w:hanging="709"/>
        <w:jc w:val="both"/>
        <w:rPr>
          <w:noProof/>
          <w:sz w:val="20"/>
          <w:szCs w:val="20"/>
        </w:rPr>
      </w:pPr>
      <w:r w:rsidRPr="00B303AA">
        <w:rPr>
          <w:noProof/>
          <w:sz w:val="20"/>
          <w:szCs w:val="20"/>
        </w:rPr>
        <w:t xml:space="preserve">Santoso, W. &amp; Christianti, J. (2021). Exploring Critical Pedagogy in an Indonesian Higher Education: Possibilities and challenges. </w:t>
      </w:r>
      <w:r w:rsidRPr="00B303AA">
        <w:rPr>
          <w:i/>
          <w:iCs/>
          <w:noProof/>
          <w:sz w:val="20"/>
          <w:szCs w:val="20"/>
        </w:rPr>
        <w:t xml:space="preserve">ELTICS (English Langauge Teaching and English Linguistics) Journal, Vol. 6, No. 2, </w:t>
      </w:r>
      <w:r w:rsidRPr="00B303AA">
        <w:rPr>
          <w:noProof/>
          <w:sz w:val="20"/>
          <w:szCs w:val="20"/>
        </w:rPr>
        <w:t>1 – 11.</w:t>
      </w:r>
    </w:p>
    <w:p w14:paraId="3BDA880D" w14:textId="77777777" w:rsidR="00B303AA" w:rsidRPr="00B303AA" w:rsidRDefault="00B303AA" w:rsidP="00B303AA">
      <w:pPr>
        <w:ind w:left="709" w:hanging="709"/>
        <w:jc w:val="both"/>
        <w:rPr>
          <w:noProof/>
          <w:sz w:val="20"/>
          <w:szCs w:val="20"/>
        </w:rPr>
      </w:pPr>
      <w:r w:rsidRPr="00B303AA">
        <w:rPr>
          <w:noProof/>
          <w:sz w:val="20"/>
          <w:szCs w:val="20"/>
        </w:rPr>
        <w:t xml:space="preserve">Serrano, M.M., O’Brien, M., Roberts, K., Whyte, D. (2017). Critical Pedagogy and Assessment in Higher Education: The ideal of ‘authenticity’ in learning. </w:t>
      </w:r>
      <w:r w:rsidRPr="00B303AA">
        <w:rPr>
          <w:i/>
          <w:iCs/>
          <w:noProof/>
          <w:sz w:val="20"/>
          <w:szCs w:val="20"/>
        </w:rPr>
        <w:t>Active Learning in Higher Education,</w:t>
      </w:r>
      <w:r w:rsidRPr="00B303AA">
        <w:rPr>
          <w:noProof/>
          <w:sz w:val="20"/>
          <w:szCs w:val="20"/>
        </w:rPr>
        <w:t xml:space="preserve"> 1 – 13.</w:t>
      </w:r>
    </w:p>
    <w:p w14:paraId="49A23ED4" w14:textId="77777777" w:rsidR="00B303AA" w:rsidRPr="00B303AA" w:rsidRDefault="00B303AA" w:rsidP="00B303AA">
      <w:pPr>
        <w:ind w:left="709" w:hanging="709"/>
        <w:jc w:val="both"/>
        <w:rPr>
          <w:sz w:val="20"/>
          <w:szCs w:val="20"/>
        </w:rPr>
      </w:pPr>
      <w:r w:rsidRPr="00B303AA">
        <w:rPr>
          <w:sz w:val="20"/>
          <w:szCs w:val="20"/>
        </w:rPr>
        <w:t xml:space="preserve">Shor, I. (1996). </w:t>
      </w:r>
      <w:r w:rsidRPr="00B303AA">
        <w:rPr>
          <w:i/>
          <w:iCs/>
          <w:sz w:val="20"/>
          <w:szCs w:val="20"/>
        </w:rPr>
        <w:t>When Sudents Have Power: Negotiating Authority in a Critical Pedagogy.</w:t>
      </w:r>
      <w:r w:rsidRPr="00B303AA">
        <w:rPr>
          <w:sz w:val="20"/>
          <w:szCs w:val="20"/>
        </w:rPr>
        <w:t xml:space="preserve"> Chicago: University of Chicago Press.</w:t>
      </w:r>
    </w:p>
    <w:p w14:paraId="70511844" w14:textId="77777777" w:rsidR="00B303AA" w:rsidRPr="00B303AA" w:rsidRDefault="00B303AA" w:rsidP="00B303AA">
      <w:pPr>
        <w:ind w:left="709" w:hanging="709"/>
        <w:jc w:val="both"/>
        <w:rPr>
          <w:sz w:val="20"/>
          <w:szCs w:val="20"/>
        </w:rPr>
      </w:pPr>
      <w:r w:rsidRPr="00B303AA">
        <w:rPr>
          <w:sz w:val="20"/>
          <w:szCs w:val="20"/>
        </w:rPr>
        <w:t xml:space="preserve">Shor, I., &amp; Freire, P. (1987). </w:t>
      </w:r>
      <w:r w:rsidRPr="00B303AA">
        <w:rPr>
          <w:i/>
          <w:iCs/>
          <w:sz w:val="20"/>
          <w:szCs w:val="20"/>
        </w:rPr>
        <w:t>A pedagogy for liberation</w:t>
      </w:r>
      <w:r w:rsidRPr="00B303AA">
        <w:rPr>
          <w:sz w:val="20"/>
          <w:szCs w:val="20"/>
        </w:rPr>
        <w:t>. Massachusetts: Bergin &amp; Garvey Publishers.</w:t>
      </w:r>
    </w:p>
    <w:p w14:paraId="721CCCF4" w14:textId="77777777" w:rsidR="00B303AA" w:rsidRPr="00B303AA" w:rsidRDefault="00B303AA" w:rsidP="00B303AA">
      <w:pPr>
        <w:ind w:left="709" w:hanging="709"/>
        <w:jc w:val="both"/>
        <w:rPr>
          <w:sz w:val="20"/>
          <w:szCs w:val="20"/>
        </w:rPr>
      </w:pPr>
      <w:r w:rsidRPr="00B303AA">
        <w:rPr>
          <w:sz w:val="20"/>
          <w:szCs w:val="20"/>
        </w:rPr>
        <w:t xml:space="preserve">Silverman, D. (2005). </w:t>
      </w:r>
      <w:r w:rsidRPr="00B303AA">
        <w:rPr>
          <w:i/>
          <w:iCs/>
          <w:sz w:val="20"/>
          <w:szCs w:val="20"/>
        </w:rPr>
        <w:t>Doing qualitative reserach</w:t>
      </w:r>
      <w:r w:rsidRPr="00B303AA">
        <w:rPr>
          <w:sz w:val="20"/>
          <w:szCs w:val="20"/>
        </w:rPr>
        <w:t>. New Delhi: Sage Publication.</w:t>
      </w:r>
    </w:p>
    <w:p w14:paraId="55EFAE57" w14:textId="77777777" w:rsidR="00B303AA" w:rsidRPr="00B303AA" w:rsidRDefault="00B303AA" w:rsidP="00B303AA">
      <w:pPr>
        <w:ind w:left="709" w:hanging="709"/>
        <w:jc w:val="both"/>
        <w:rPr>
          <w:noProof/>
          <w:sz w:val="20"/>
          <w:szCs w:val="20"/>
        </w:rPr>
      </w:pPr>
      <w:r w:rsidRPr="00B303AA">
        <w:rPr>
          <w:noProof/>
          <w:sz w:val="20"/>
          <w:szCs w:val="20"/>
        </w:rPr>
        <w:t xml:space="preserve">Sulistyowardani, M., Mambu, J.E., Pattiwel, A.S. (2020). Indonesian EFL Teachers’ Cognition and Practices related to Social Justice. </w:t>
      </w:r>
      <w:r w:rsidRPr="00B303AA">
        <w:rPr>
          <w:i/>
          <w:iCs/>
          <w:noProof/>
          <w:sz w:val="20"/>
          <w:szCs w:val="20"/>
        </w:rPr>
        <w:t xml:space="preserve">Indonesian Journal of Applied Linguistics, Vol. </w:t>
      </w:r>
      <w:r w:rsidRPr="00B303AA">
        <w:rPr>
          <w:i/>
          <w:iCs/>
          <w:noProof/>
          <w:sz w:val="20"/>
          <w:szCs w:val="20"/>
        </w:rPr>
        <w:lastRenderedPageBreak/>
        <w:t xml:space="preserve">10, No. 2, </w:t>
      </w:r>
      <w:r w:rsidRPr="00B303AA">
        <w:rPr>
          <w:noProof/>
          <w:sz w:val="20"/>
          <w:szCs w:val="20"/>
        </w:rPr>
        <w:t>420 – 433.</w:t>
      </w:r>
    </w:p>
    <w:p w14:paraId="670029A0" w14:textId="77777777" w:rsidR="00B303AA" w:rsidRPr="00B303AA" w:rsidRDefault="00B303AA" w:rsidP="00B303AA">
      <w:pPr>
        <w:ind w:left="709" w:hanging="709"/>
        <w:jc w:val="both"/>
        <w:rPr>
          <w:sz w:val="20"/>
          <w:szCs w:val="20"/>
        </w:rPr>
      </w:pPr>
      <w:r w:rsidRPr="00B303AA">
        <w:rPr>
          <w:sz w:val="20"/>
          <w:szCs w:val="20"/>
        </w:rPr>
        <w:t xml:space="preserve">Thinsan, S. (2015, February 7). Critical thinking and critical pedagogy: Similarities, differences, and critiques. Retrieved August 15, 2015, from </w:t>
      </w:r>
      <w:hyperlink r:id="rId13" w:history="1">
        <w:r w:rsidRPr="00B303AA">
          <w:rPr>
            <w:i/>
            <w:iCs/>
            <w:sz w:val="20"/>
            <w:szCs w:val="20"/>
          </w:rPr>
          <w:t>http://thinsan.org/2015/02/07/critical-thinking-and-critical-pedagogy-similarities-differences-and-critiques/</w:t>
        </w:r>
      </w:hyperlink>
    </w:p>
    <w:p w14:paraId="0C49E028" w14:textId="77777777" w:rsidR="00B303AA" w:rsidRPr="00B303AA" w:rsidRDefault="00B303AA" w:rsidP="00B303AA">
      <w:pPr>
        <w:ind w:left="709" w:hanging="709"/>
        <w:jc w:val="both"/>
        <w:rPr>
          <w:noProof/>
          <w:sz w:val="20"/>
          <w:szCs w:val="20"/>
        </w:rPr>
      </w:pPr>
      <w:r w:rsidRPr="00B303AA">
        <w:rPr>
          <w:noProof/>
          <w:sz w:val="20"/>
          <w:szCs w:val="20"/>
        </w:rPr>
        <w:t xml:space="preserve">Yang, S. (2020). Critical Pedagogy for Foreign-Language Writing. </w:t>
      </w:r>
      <w:r w:rsidRPr="00B303AA">
        <w:rPr>
          <w:i/>
          <w:iCs/>
          <w:noProof/>
          <w:sz w:val="20"/>
          <w:szCs w:val="20"/>
        </w:rPr>
        <w:t xml:space="preserve">L2 Journal, Vol. 12 Issue 2, </w:t>
      </w:r>
      <w:r w:rsidRPr="00B303AA">
        <w:rPr>
          <w:noProof/>
          <w:sz w:val="20"/>
          <w:szCs w:val="20"/>
        </w:rPr>
        <w:t>110 – 127.</w:t>
      </w:r>
    </w:p>
    <w:p w14:paraId="092909C5" w14:textId="77777777" w:rsidR="00B303AA" w:rsidRPr="00B303AA" w:rsidRDefault="00B303AA" w:rsidP="00B303AA">
      <w:pPr>
        <w:ind w:left="709" w:hanging="709"/>
        <w:jc w:val="both"/>
        <w:rPr>
          <w:color w:val="525254"/>
          <w:sz w:val="20"/>
          <w:szCs w:val="20"/>
        </w:rPr>
      </w:pPr>
      <w:r w:rsidRPr="00B303AA">
        <w:rPr>
          <w:noProof/>
          <w:sz w:val="20"/>
          <w:szCs w:val="20"/>
        </w:rPr>
        <w:t xml:space="preserve">Yilmaz, K. (2009). Elementary Teachers’ View about the Critical Pedagogy. </w:t>
      </w:r>
      <w:r w:rsidRPr="00B303AA">
        <w:rPr>
          <w:i/>
          <w:iCs/>
          <w:noProof/>
          <w:sz w:val="20"/>
          <w:szCs w:val="20"/>
        </w:rPr>
        <w:t xml:space="preserve">The Asia-Pacific Education Researcher, 18(1), </w:t>
      </w:r>
      <w:r w:rsidRPr="00B303AA">
        <w:rPr>
          <w:color w:val="525254"/>
          <w:sz w:val="20"/>
          <w:szCs w:val="20"/>
        </w:rPr>
        <w:t>DOI: </w:t>
      </w:r>
      <w:hyperlink r:id="rId14" w:tgtFrame="_blank" w:history="1">
        <w:r w:rsidRPr="00B303AA">
          <w:rPr>
            <w:rStyle w:val="Hyperlink"/>
            <w:sz w:val="20"/>
            <w:szCs w:val="20"/>
            <w:bdr w:val="none" w:sz="0" w:space="0" w:color="auto" w:frame="1"/>
          </w:rPr>
          <w:t>10.3860/taper.v18i1.1042</w:t>
        </w:r>
      </w:hyperlink>
    </w:p>
    <w:p w14:paraId="066876A1" w14:textId="77777777" w:rsidR="00B303AA" w:rsidRPr="00B303AA" w:rsidRDefault="00B303AA" w:rsidP="00B303AA">
      <w:pPr>
        <w:ind w:left="709" w:hanging="709"/>
        <w:jc w:val="both"/>
        <w:rPr>
          <w:sz w:val="20"/>
          <w:szCs w:val="20"/>
        </w:rPr>
      </w:pPr>
      <w:r w:rsidRPr="00B303AA">
        <w:rPr>
          <w:sz w:val="20"/>
          <w:szCs w:val="20"/>
        </w:rPr>
        <w:t xml:space="preserve">Yin, R. K. (2011). </w:t>
      </w:r>
      <w:r w:rsidRPr="00B303AA">
        <w:rPr>
          <w:i/>
          <w:iCs/>
          <w:sz w:val="20"/>
          <w:szCs w:val="20"/>
        </w:rPr>
        <w:t>Qualitative Research from Start to Finish</w:t>
      </w:r>
      <w:r w:rsidRPr="00B303AA">
        <w:rPr>
          <w:sz w:val="20"/>
          <w:szCs w:val="20"/>
        </w:rPr>
        <w:t>. New York: The Guilford Press.</w:t>
      </w:r>
    </w:p>
    <w:p w14:paraId="709BAA78" w14:textId="77777777" w:rsidR="00B303AA" w:rsidRPr="00B303AA" w:rsidRDefault="00B303AA" w:rsidP="00B303AA">
      <w:pPr>
        <w:ind w:left="709" w:hanging="709"/>
        <w:jc w:val="both"/>
        <w:rPr>
          <w:sz w:val="20"/>
          <w:szCs w:val="20"/>
        </w:rPr>
      </w:pPr>
      <w:r w:rsidRPr="00B303AA">
        <w:rPr>
          <w:noProof/>
          <w:sz w:val="20"/>
          <w:szCs w:val="20"/>
        </w:rPr>
        <w:t>Yulianto</w:t>
      </w:r>
      <w:r w:rsidRPr="00B303AA">
        <w:rPr>
          <w:sz w:val="20"/>
          <w:szCs w:val="20"/>
        </w:rPr>
        <w:t xml:space="preserve">, S.W. (2020). </w:t>
      </w:r>
      <w:hyperlink r:id="rId15" w:history="1">
        <w:r w:rsidRPr="00B303AA">
          <w:rPr>
            <w:rStyle w:val="Hyperlink"/>
            <w:sz w:val="20"/>
            <w:szCs w:val="20"/>
          </w:rPr>
          <w:t>The use of critical pedagogy principles in teaching English as a foreign language (EFL) for senior high school students in Subang</w:t>
        </w:r>
      </w:hyperlink>
      <w:r w:rsidRPr="00B303AA">
        <w:rPr>
          <w:i/>
          <w:iCs/>
          <w:sz w:val="20"/>
          <w:szCs w:val="20"/>
        </w:rPr>
        <w:t>. Biormatika: Jurnal ilmiah fakultas keguruan dan ilmu pendidikan 6 (1),</w:t>
      </w:r>
      <w:r w:rsidRPr="00B303AA">
        <w:rPr>
          <w:sz w:val="20"/>
          <w:szCs w:val="20"/>
        </w:rPr>
        <w:t xml:space="preserve"> 98 – 106.</w:t>
      </w:r>
    </w:p>
    <w:p w14:paraId="61A98C07" w14:textId="77777777" w:rsidR="00B303AA" w:rsidRDefault="00B303AA" w:rsidP="00B303AA">
      <w:pPr>
        <w:tabs>
          <w:tab w:val="left" w:pos="4037"/>
        </w:tabs>
        <w:spacing w:before="1"/>
        <w:ind w:left="720" w:right="111" w:hanging="711"/>
        <w:jc w:val="both"/>
        <w:rPr>
          <w:sz w:val="20"/>
        </w:rPr>
      </w:pPr>
    </w:p>
    <w:p w14:paraId="2248DFEF" w14:textId="77777777" w:rsidR="004025AD" w:rsidRDefault="004025AD">
      <w:pPr>
        <w:jc w:val="both"/>
      </w:pPr>
    </w:p>
    <w:p w14:paraId="3F19B72C" w14:textId="10E0F20E" w:rsidR="004025AD" w:rsidRDefault="004025AD" w:rsidP="00400D5B">
      <w:pPr>
        <w:pStyle w:val="BodyText"/>
        <w:spacing w:before="6"/>
      </w:pPr>
    </w:p>
    <w:sectPr w:rsidR="004025AD">
      <w:pgSz w:w="11910" w:h="16840"/>
      <w:pgMar w:top="1340" w:right="1320" w:bottom="1160" w:left="1340" w:header="725" w:footer="974" w:gutter="0"/>
      <w:cols w:num="2" w:space="720" w:equalWidth="0">
        <w:col w:w="4466" w:space="240"/>
        <w:col w:w="45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0CE64" w14:textId="77777777" w:rsidR="00AC4943" w:rsidRDefault="00AC4943">
      <w:r>
        <w:separator/>
      </w:r>
    </w:p>
  </w:endnote>
  <w:endnote w:type="continuationSeparator" w:id="0">
    <w:p w14:paraId="32C5A448" w14:textId="77777777" w:rsidR="00AC4943" w:rsidRDefault="00AC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B201" w14:textId="77777777" w:rsidR="004025AD" w:rsidRDefault="00AC4943">
    <w:pPr>
      <w:pStyle w:val="BodyText"/>
      <w:spacing w:line="14" w:lineRule="auto"/>
      <w:rPr>
        <w:sz w:val="20"/>
      </w:rPr>
    </w:pPr>
    <w:r>
      <w:pict w14:anchorId="098E3E21">
        <v:shapetype id="_x0000_t202" coordsize="21600,21600" o:spt="202" path="m,l,21600r21600,l21600,xe">
          <v:stroke joinstyle="miter"/>
          <v:path gradientshapeok="t" o:connecttype="rect"/>
        </v:shapetype>
        <v:shape id="_x0000_s2049" type="#_x0000_t202" style="position:absolute;margin-left:227.6pt;margin-top:782.25pt;width:143.55pt;height:24.75pt;z-index:-251658752;mso-position-horizontal-relative:page;mso-position-vertical-relative:page" filled="f" stroked="f">
          <v:textbox style="mso-next-textbox:#_x0000_s2049" inset="0,0,0,0">
            <w:txbxContent>
              <w:p w14:paraId="2593B918" w14:textId="77777777" w:rsidR="004025AD" w:rsidRDefault="003D4C67">
                <w:pPr>
                  <w:spacing w:before="13"/>
                  <w:ind w:right="67"/>
                  <w:jc w:val="center"/>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CA7D2" w14:textId="77777777" w:rsidR="00AC4943" w:rsidRDefault="00AC4943">
      <w:r>
        <w:separator/>
      </w:r>
    </w:p>
  </w:footnote>
  <w:footnote w:type="continuationSeparator" w:id="0">
    <w:p w14:paraId="6C89C57D" w14:textId="77777777" w:rsidR="00AC4943" w:rsidRDefault="00AC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496E4" w14:textId="4EE165B0" w:rsidR="004025AD" w:rsidRDefault="004025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41357"/>
    <w:multiLevelType w:val="hybridMultilevel"/>
    <w:tmpl w:val="3D3C8E16"/>
    <w:lvl w:ilvl="0" w:tplc="538CBA72">
      <w:numFmt w:val="bullet"/>
      <w:lvlText w:val=""/>
      <w:lvlJc w:val="left"/>
      <w:pPr>
        <w:ind w:left="460" w:hanging="360"/>
      </w:pPr>
      <w:rPr>
        <w:rFonts w:ascii="Symbol" w:eastAsia="Symbol" w:hAnsi="Symbol" w:cs="Symbol" w:hint="default"/>
        <w:w w:val="100"/>
        <w:sz w:val="20"/>
        <w:szCs w:val="20"/>
        <w:lang w:val="en-US" w:eastAsia="en-US" w:bidi="ar-SA"/>
      </w:rPr>
    </w:lvl>
    <w:lvl w:ilvl="1" w:tplc="5630D594">
      <w:numFmt w:val="bullet"/>
      <w:lvlText w:val="•"/>
      <w:lvlJc w:val="left"/>
      <w:pPr>
        <w:ind w:left="860" w:hanging="360"/>
      </w:pPr>
      <w:rPr>
        <w:rFonts w:hint="default"/>
        <w:lang w:val="en-US" w:eastAsia="en-US" w:bidi="ar-SA"/>
      </w:rPr>
    </w:lvl>
    <w:lvl w:ilvl="2" w:tplc="3C6C89CC">
      <w:numFmt w:val="bullet"/>
      <w:lvlText w:val="•"/>
      <w:lvlJc w:val="left"/>
      <w:pPr>
        <w:ind w:left="1261" w:hanging="360"/>
      </w:pPr>
      <w:rPr>
        <w:rFonts w:hint="default"/>
        <w:lang w:val="en-US" w:eastAsia="en-US" w:bidi="ar-SA"/>
      </w:rPr>
    </w:lvl>
    <w:lvl w:ilvl="3" w:tplc="EA8ED19E">
      <w:numFmt w:val="bullet"/>
      <w:lvlText w:val="•"/>
      <w:lvlJc w:val="left"/>
      <w:pPr>
        <w:ind w:left="1661" w:hanging="360"/>
      </w:pPr>
      <w:rPr>
        <w:rFonts w:hint="default"/>
        <w:lang w:val="en-US" w:eastAsia="en-US" w:bidi="ar-SA"/>
      </w:rPr>
    </w:lvl>
    <w:lvl w:ilvl="4" w:tplc="2CC4CCBA">
      <w:numFmt w:val="bullet"/>
      <w:lvlText w:val="•"/>
      <w:lvlJc w:val="left"/>
      <w:pPr>
        <w:ind w:left="2062" w:hanging="360"/>
      </w:pPr>
      <w:rPr>
        <w:rFonts w:hint="default"/>
        <w:lang w:val="en-US" w:eastAsia="en-US" w:bidi="ar-SA"/>
      </w:rPr>
    </w:lvl>
    <w:lvl w:ilvl="5" w:tplc="A6627BF6">
      <w:numFmt w:val="bullet"/>
      <w:lvlText w:val="•"/>
      <w:lvlJc w:val="left"/>
      <w:pPr>
        <w:ind w:left="2462" w:hanging="360"/>
      </w:pPr>
      <w:rPr>
        <w:rFonts w:hint="default"/>
        <w:lang w:val="en-US" w:eastAsia="en-US" w:bidi="ar-SA"/>
      </w:rPr>
    </w:lvl>
    <w:lvl w:ilvl="6" w:tplc="29863E46">
      <w:numFmt w:val="bullet"/>
      <w:lvlText w:val="•"/>
      <w:lvlJc w:val="left"/>
      <w:pPr>
        <w:ind w:left="2863" w:hanging="360"/>
      </w:pPr>
      <w:rPr>
        <w:rFonts w:hint="default"/>
        <w:lang w:val="en-US" w:eastAsia="en-US" w:bidi="ar-SA"/>
      </w:rPr>
    </w:lvl>
    <w:lvl w:ilvl="7" w:tplc="5AB8A2D4">
      <w:numFmt w:val="bullet"/>
      <w:lvlText w:val="•"/>
      <w:lvlJc w:val="left"/>
      <w:pPr>
        <w:ind w:left="3263" w:hanging="360"/>
      </w:pPr>
      <w:rPr>
        <w:rFonts w:hint="default"/>
        <w:lang w:val="en-US" w:eastAsia="en-US" w:bidi="ar-SA"/>
      </w:rPr>
    </w:lvl>
    <w:lvl w:ilvl="8" w:tplc="30382F74">
      <w:numFmt w:val="bullet"/>
      <w:lvlText w:val="•"/>
      <w:lvlJc w:val="left"/>
      <w:pPr>
        <w:ind w:left="366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25AD"/>
    <w:rsid w:val="0003490F"/>
    <w:rsid w:val="00086263"/>
    <w:rsid w:val="0009345F"/>
    <w:rsid w:val="00127B65"/>
    <w:rsid w:val="001B0070"/>
    <w:rsid w:val="002E4353"/>
    <w:rsid w:val="0032386F"/>
    <w:rsid w:val="003D4C67"/>
    <w:rsid w:val="00400D5B"/>
    <w:rsid w:val="004025AD"/>
    <w:rsid w:val="004413EC"/>
    <w:rsid w:val="004960F7"/>
    <w:rsid w:val="004A44C8"/>
    <w:rsid w:val="0056661B"/>
    <w:rsid w:val="00586027"/>
    <w:rsid w:val="006561D6"/>
    <w:rsid w:val="00913488"/>
    <w:rsid w:val="009205CB"/>
    <w:rsid w:val="009911FD"/>
    <w:rsid w:val="00A505B6"/>
    <w:rsid w:val="00A90A39"/>
    <w:rsid w:val="00A967B1"/>
    <w:rsid w:val="00AC4943"/>
    <w:rsid w:val="00B303AA"/>
    <w:rsid w:val="00B31653"/>
    <w:rsid w:val="00B423E9"/>
    <w:rsid w:val="00BF247A"/>
    <w:rsid w:val="00D94734"/>
    <w:rsid w:val="00E15F7F"/>
    <w:rsid w:val="00E5769B"/>
    <w:rsid w:val="00F10680"/>
    <w:rsid w:val="00F4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681921"/>
  <w15:docId w15:val="{AF40FE74-2ECA-4991-A68C-71393D88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4"/>
      <w:ind w:left="60" w:right="80"/>
      <w:jc w:val="center"/>
    </w:pPr>
    <w:rPr>
      <w:b/>
      <w:bCs/>
      <w:sz w:val="32"/>
      <w:szCs w:val="32"/>
    </w:rPr>
  </w:style>
  <w:style w:type="paragraph" w:styleId="ListParagraph">
    <w:name w:val="List Paragraph"/>
    <w:basedOn w:val="Normal"/>
    <w:uiPriority w:val="1"/>
    <w:qFormat/>
    <w:pPr>
      <w:ind w:left="460" w:right="39" w:hanging="360"/>
      <w:jc w:val="both"/>
    </w:pPr>
  </w:style>
  <w:style w:type="paragraph" w:customStyle="1" w:styleId="TableParagraph">
    <w:name w:val="Table Paragraph"/>
    <w:basedOn w:val="Normal"/>
    <w:uiPriority w:val="1"/>
    <w:qFormat/>
    <w:pPr>
      <w:spacing w:line="210" w:lineRule="exact"/>
      <w:ind w:left="200"/>
    </w:pPr>
  </w:style>
  <w:style w:type="paragraph" w:styleId="Header">
    <w:name w:val="header"/>
    <w:basedOn w:val="Normal"/>
    <w:link w:val="HeaderChar"/>
    <w:uiPriority w:val="99"/>
    <w:unhideWhenUsed/>
    <w:rsid w:val="00A967B1"/>
    <w:pPr>
      <w:tabs>
        <w:tab w:val="center" w:pos="4680"/>
        <w:tab w:val="right" w:pos="9360"/>
      </w:tabs>
    </w:pPr>
  </w:style>
  <w:style w:type="character" w:customStyle="1" w:styleId="HeaderChar">
    <w:name w:val="Header Char"/>
    <w:basedOn w:val="DefaultParagraphFont"/>
    <w:link w:val="Header"/>
    <w:uiPriority w:val="99"/>
    <w:rsid w:val="00A967B1"/>
    <w:rPr>
      <w:rFonts w:ascii="Times New Roman" w:eastAsia="Times New Roman" w:hAnsi="Times New Roman" w:cs="Times New Roman"/>
    </w:rPr>
  </w:style>
  <w:style w:type="paragraph" w:styleId="Footer">
    <w:name w:val="footer"/>
    <w:basedOn w:val="Normal"/>
    <w:link w:val="FooterChar"/>
    <w:uiPriority w:val="99"/>
    <w:unhideWhenUsed/>
    <w:rsid w:val="00A967B1"/>
    <w:pPr>
      <w:tabs>
        <w:tab w:val="center" w:pos="4680"/>
        <w:tab w:val="right" w:pos="9360"/>
      </w:tabs>
    </w:pPr>
  </w:style>
  <w:style w:type="character" w:customStyle="1" w:styleId="FooterChar">
    <w:name w:val="Footer Char"/>
    <w:basedOn w:val="DefaultParagraphFont"/>
    <w:link w:val="Footer"/>
    <w:uiPriority w:val="99"/>
    <w:rsid w:val="00A967B1"/>
    <w:rPr>
      <w:rFonts w:ascii="Times New Roman" w:eastAsia="Times New Roman" w:hAnsi="Times New Roman" w:cs="Times New Roman"/>
    </w:rPr>
  </w:style>
  <w:style w:type="character" w:styleId="Hyperlink">
    <w:name w:val="Hyperlink"/>
    <w:basedOn w:val="DefaultParagraphFont"/>
    <w:uiPriority w:val="99"/>
    <w:unhideWhenUsed/>
    <w:rsid w:val="0009345F"/>
    <w:rPr>
      <w:color w:val="0000FF" w:themeColor="hyperlink"/>
      <w:u w:val="single"/>
    </w:rPr>
  </w:style>
  <w:style w:type="character" w:styleId="UnresolvedMention">
    <w:name w:val="Unresolved Mention"/>
    <w:basedOn w:val="DefaultParagraphFont"/>
    <w:uiPriority w:val="99"/>
    <w:semiHidden/>
    <w:unhideWhenUsed/>
    <w:rsid w:val="0009345F"/>
    <w:rPr>
      <w:color w:val="605E5C"/>
      <w:shd w:val="clear" w:color="auto" w:fill="E1DFDD"/>
    </w:rPr>
  </w:style>
  <w:style w:type="paragraph" w:customStyle="1" w:styleId="StyleABSTRAKenCambria">
    <w:name w:val="Style ABSTRAK en + Cambria"/>
    <w:basedOn w:val="Normal"/>
    <w:rsid w:val="00F4131E"/>
    <w:pPr>
      <w:widowControl/>
      <w:pBdr>
        <w:top w:val="single" w:sz="4" w:space="4" w:color="auto"/>
        <w:bottom w:val="single" w:sz="4" w:space="7" w:color="auto"/>
      </w:pBdr>
      <w:autoSpaceDE/>
      <w:autoSpaceDN/>
      <w:spacing w:line="200" w:lineRule="exact"/>
      <w:ind w:left="567" w:right="567"/>
      <w:jc w:val="both"/>
    </w:pPr>
    <w:rPr>
      <w:rFonts w:ascii="Calibri" w:hAnsi="Calibri"/>
      <w:spacing w:val="-8"/>
      <w:sz w:val="18"/>
    </w:rPr>
  </w:style>
  <w:style w:type="paragraph" w:customStyle="1" w:styleId="Keyword">
    <w:name w:val="Keyword"/>
    <w:basedOn w:val="Normal"/>
    <w:rsid w:val="00F4131E"/>
    <w:pPr>
      <w:widowControl/>
      <w:autoSpaceDE/>
      <w:autoSpaceDN/>
      <w:spacing w:before="120" w:after="240" w:line="260" w:lineRule="exact"/>
      <w:ind w:left="1701" w:right="1134" w:hanging="1134"/>
    </w:pPr>
    <w:rPr>
      <w:rFonts w:ascii="Calibri" w:hAnsi="Calibri"/>
      <w:spacing w:val="-8"/>
      <w:sz w:val="20"/>
    </w:rPr>
  </w:style>
  <w:style w:type="paragraph" w:customStyle="1" w:styleId="ISI">
    <w:name w:val="ISI"/>
    <w:basedOn w:val="Normal"/>
    <w:link w:val="ISIChar"/>
    <w:qFormat/>
    <w:rsid w:val="00F4131E"/>
    <w:pPr>
      <w:widowControl/>
      <w:autoSpaceDE/>
      <w:autoSpaceDN/>
      <w:spacing w:after="80" w:line="300" w:lineRule="exact"/>
      <w:ind w:firstLine="284"/>
      <w:jc w:val="both"/>
    </w:pPr>
    <w:rPr>
      <w:rFonts w:ascii="Calibri" w:hAnsi="Calibri"/>
      <w:spacing w:val="-4"/>
      <w:szCs w:val="24"/>
    </w:rPr>
  </w:style>
  <w:style w:type="character" w:customStyle="1" w:styleId="ISIChar">
    <w:name w:val="ISI Char"/>
    <w:link w:val="ISI"/>
    <w:rsid w:val="00F4131E"/>
    <w:rPr>
      <w:rFonts w:ascii="Calibri" w:eastAsia="Times New Roman" w:hAnsi="Calibri" w:cs="Times New Roman"/>
      <w:spacing w:val="-4"/>
      <w:szCs w:val="24"/>
    </w:rPr>
  </w:style>
  <w:style w:type="paragraph" w:customStyle="1" w:styleId="Tabel">
    <w:name w:val="Tabel"/>
    <w:basedOn w:val="Normal"/>
    <w:link w:val="TabelChar"/>
    <w:qFormat/>
    <w:rsid w:val="009205CB"/>
    <w:pPr>
      <w:widowControl/>
      <w:suppressAutoHyphens/>
      <w:autoSpaceDE/>
      <w:autoSpaceDN/>
      <w:spacing w:before="240"/>
      <w:ind w:right="17"/>
    </w:pPr>
    <w:rPr>
      <w:rFonts w:ascii="Calibri" w:eastAsia="Cambria" w:hAnsi="Calibri" w:cs="Calibri"/>
      <w:b/>
      <w:color w:val="002060"/>
    </w:rPr>
  </w:style>
  <w:style w:type="character" w:customStyle="1" w:styleId="TabelChar">
    <w:name w:val="Tabel Char"/>
    <w:link w:val="Tabel"/>
    <w:rsid w:val="009205CB"/>
    <w:rPr>
      <w:rFonts w:ascii="Calibri" w:eastAsia="Cambria" w:hAnsi="Calibri" w:cs="Calibri"/>
      <w:b/>
      <w:color w:val="002060"/>
    </w:rPr>
  </w:style>
  <w:style w:type="paragraph" w:styleId="Bibliography">
    <w:name w:val="Bibliography"/>
    <w:basedOn w:val="Normal"/>
    <w:next w:val="Normal"/>
    <w:uiPriority w:val="37"/>
    <w:semiHidden/>
    <w:unhideWhenUsed/>
    <w:rsid w:val="00BF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ustine@upi.edu" TargetMode="External"/><Relationship Id="rId13" Type="http://schemas.openxmlformats.org/officeDocument/2006/relationships/hyperlink" Target="http://thinsan.org/2015/02/07/critical-thinking-and-critical-pedagogy-similarities-differences-and-critiques/" TargetMode="External"/><Relationship Id="rId3" Type="http://schemas.openxmlformats.org/officeDocument/2006/relationships/settings" Target="settings.xml"/><Relationship Id="rId7" Type="http://schemas.openxmlformats.org/officeDocument/2006/relationships/hyperlink" Target="mailto:slamet.wahyudi.y@gmail.com" TargetMode="External"/><Relationship Id="rId12" Type="http://schemas.openxmlformats.org/officeDocument/2006/relationships/hyperlink" Target="https://doi.org/10.3390/educsci110502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cholar.google.co.id/citations?view_op=view_citation&amp;hl=en&amp;user=RzsgV38AAAAJ&amp;citation_for_view=RzsgV38AAAAJ:YsMSGLbcyi4C"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nmusthafa@upi.edu" TargetMode="External"/><Relationship Id="rId14" Type="http://schemas.openxmlformats.org/officeDocument/2006/relationships/hyperlink" Target="http://dx.doi.org/10.3860/taper.v18i1.1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10</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 and mum</dc:creator>
  <cp:lastModifiedBy>User</cp:lastModifiedBy>
  <cp:revision>9</cp:revision>
  <dcterms:created xsi:type="dcterms:W3CDTF">2024-01-19T08:58:00Z</dcterms:created>
  <dcterms:modified xsi:type="dcterms:W3CDTF">2024-01-19T16:20:00Z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Microsoft® Word 2016</vt:lpwstr>
  </property>
  <property fmtid="{D5CDD505-2E9C-101B-9397-08002B2CF9AE}" pid="4" name="LastSaved">
    <vt:filetime>2024-01-19T00:00:00Z</vt:filetime>
  </property>
</Properties>
</file>