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F6E0" w14:textId="77777777" w:rsidR="00967594" w:rsidRDefault="00967594" w:rsidP="00A608AD">
      <w:pPr>
        <w:jc w:val="center"/>
        <w:rPr>
          <w:rFonts w:ascii="Times New Roman" w:eastAsia="Times New Roman" w:hAnsi="Times New Roman" w:cs="Times New Roman"/>
          <w:b/>
        </w:rPr>
      </w:pPr>
      <w:r w:rsidRPr="00744F2B">
        <w:rPr>
          <w:rFonts w:ascii="Times New Roman" w:eastAsia="Times New Roman" w:hAnsi="Times New Roman" w:cs="Times New Roman"/>
          <w:b/>
          <w:lang w:val="id-ID"/>
        </w:rPr>
        <w:t xml:space="preserve">PENGARUH DEMOGRAFI </w:t>
      </w:r>
      <w:r>
        <w:rPr>
          <w:rFonts w:ascii="Times New Roman" w:eastAsia="Times New Roman" w:hAnsi="Times New Roman" w:cs="Times New Roman"/>
          <w:b/>
        </w:rPr>
        <w:t xml:space="preserve">DAN LITERASI KEUANGAN </w:t>
      </w:r>
    </w:p>
    <w:p w14:paraId="59DAD6C6" w14:textId="77777777" w:rsidR="00967594" w:rsidRPr="00A47E0C" w:rsidRDefault="00967594" w:rsidP="00A608AD">
      <w:pPr>
        <w:jc w:val="center"/>
        <w:rPr>
          <w:rFonts w:ascii="Times New Roman" w:eastAsia="Times New Roman" w:hAnsi="Times New Roman" w:cs="Times New Roman"/>
          <w:b/>
          <w:lang w:val="id-ID"/>
        </w:rPr>
      </w:pPr>
      <w:r w:rsidRPr="00744F2B">
        <w:rPr>
          <w:rFonts w:ascii="Times New Roman" w:eastAsia="Times New Roman" w:hAnsi="Times New Roman" w:cs="Times New Roman"/>
          <w:b/>
          <w:lang w:val="id-ID"/>
        </w:rPr>
        <w:t xml:space="preserve">TERHADAP </w:t>
      </w:r>
      <w:r>
        <w:rPr>
          <w:rFonts w:ascii="Times New Roman" w:eastAsia="Times New Roman" w:hAnsi="Times New Roman" w:cs="Times New Roman"/>
          <w:b/>
        </w:rPr>
        <w:t xml:space="preserve">PRAKTIK </w:t>
      </w:r>
      <w:r w:rsidRPr="00744F2B">
        <w:rPr>
          <w:rFonts w:ascii="Times New Roman" w:eastAsia="Times New Roman" w:hAnsi="Times New Roman" w:cs="Times New Roman"/>
          <w:b/>
          <w:lang w:val="id-ID"/>
        </w:rPr>
        <w:t xml:space="preserve">MANAJEMEN KEUANGAN PERSONAL </w:t>
      </w:r>
    </w:p>
    <w:p w14:paraId="3B6E5D3F" w14:textId="77777777" w:rsidR="00967594" w:rsidRPr="00744F2B" w:rsidRDefault="00967594" w:rsidP="00A608AD">
      <w:pPr>
        <w:jc w:val="center"/>
        <w:rPr>
          <w:rFonts w:ascii="Times New Roman" w:eastAsia="Times New Roman" w:hAnsi="Times New Roman" w:cs="Times New Roman"/>
          <w:b/>
          <w:lang w:val="id-ID"/>
        </w:rPr>
      </w:pPr>
      <w:r w:rsidRPr="00744F2B">
        <w:rPr>
          <w:rFonts w:ascii="Times New Roman" w:eastAsia="Times New Roman" w:hAnsi="Times New Roman" w:cs="Times New Roman"/>
          <w:b/>
          <w:lang w:val="id-ID"/>
        </w:rPr>
        <w:t>(</w:t>
      </w:r>
      <w:proofErr w:type="spellStart"/>
      <w:r w:rsidRPr="00744F2B">
        <w:rPr>
          <w:rFonts w:ascii="Times New Roman" w:eastAsia="Times New Roman" w:hAnsi="Times New Roman" w:cs="Times New Roman"/>
          <w:b/>
          <w:lang w:val="id-ID"/>
        </w:rPr>
        <w:t>Stud</w:t>
      </w:r>
      <w:r>
        <w:rPr>
          <w:rFonts w:ascii="Times New Roman" w:eastAsia="Times New Roman" w:hAnsi="Times New Roman" w:cs="Times New Roman"/>
          <w:b/>
        </w:rPr>
        <w:t>i</w:t>
      </w:r>
      <w:proofErr w:type="spellEnd"/>
      <w:r w:rsidRPr="00744F2B">
        <w:rPr>
          <w:rFonts w:ascii="Times New Roman" w:eastAsia="Times New Roman" w:hAnsi="Times New Roman" w:cs="Times New Roman"/>
          <w:b/>
          <w:lang w:val="id-ID"/>
        </w:rPr>
        <w:t xml:space="preserve"> Kasus Pada Guru </w:t>
      </w:r>
      <w:proofErr w:type="spellStart"/>
      <w:r>
        <w:rPr>
          <w:rFonts w:ascii="Times New Roman" w:eastAsia="Times New Roman" w:hAnsi="Times New Roman" w:cs="Times New Roman"/>
          <w:b/>
        </w:rPr>
        <w:t>Pegawai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Negeri </w:t>
      </w:r>
      <w:proofErr w:type="spellStart"/>
      <w:r>
        <w:rPr>
          <w:rFonts w:ascii="Times New Roman" w:eastAsia="Times New Roman" w:hAnsi="Times New Roman" w:cs="Times New Roman"/>
          <w:b/>
        </w:rPr>
        <w:t>Sipil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Pr="00744F2B">
        <w:rPr>
          <w:rFonts w:ascii="Times New Roman" w:eastAsia="Times New Roman" w:hAnsi="Times New Roman" w:cs="Times New Roman"/>
          <w:b/>
          <w:lang w:val="id-ID"/>
        </w:rPr>
        <w:t>di Kabupaten Kuningan )</w:t>
      </w:r>
    </w:p>
    <w:p w14:paraId="77E81271" w14:textId="13FC0245" w:rsidR="00171E05" w:rsidRDefault="00171E05" w:rsidP="00A608AD">
      <w:pPr>
        <w:jc w:val="center"/>
        <w:rPr>
          <w:rFonts w:ascii="Times New Roman" w:hAnsi="Times New Roman" w:cs="Times New Roman"/>
        </w:rPr>
      </w:pPr>
    </w:p>
    <w:p w14:paraId="235BEEFE" w14:textId="098D0DA8" w:rsidR="00967594" w:rsidRDefault="00967594" w:rsidP="00A608A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Ita</w:t>
      </w:r>
      <w:proofErr w:type="spellEnd"/>
      <w:r>
        <w:rPr>
          <w:rFonts w:ascii="Times New Roman" w:hAnsi="Times New Roman" w:cs="Times New Roman"/>
        </w:rPr>
        <w:t xml:space="preserve"> Novita</w:t>
      </w:r>
    </w:p>
    <w:p w14:paraId="0351AA98" w14:textId="44860618" w:rsidR="00967594" w:rsidRDefault="00967594" w:rsidP="00A608A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Universita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Kuningan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4A4965E" w14:textId="798AFF7F" w:rsidR="00967594" w:rsidRDefault="00AE5A9D" w:rsidP="00A608AD">
      <w:pPr>
        <w:jc w:val="center"/>
        <w:rPr>
          <w:rFonts w:ascii="Times New Roman" w:hAnsi="Times New Roman" w:cs="Times New Roman"/>
        </w:rPr>
      </w:pPr>
      <w:hyperlink r:id="rId5" w:history="1">
        <w:r w:rsidR="00967594" w:rsidRPr="002510EA">
          <w:rPr>
            <w:rStyle w:val="Hyperlink"/>
            <w:rFonts w:ascii="Times New Roman" w:hAnsi="Times New Roman" w:cs="Times New Roman"/>
          </w:rPr>
          <w:t>Itanovita001@gmail.com</w:t>
        </w:r>
      </w:hyperlink>
    </w:p>
    <w:p w14:paraId="07DCFEC4" w14:textId="6478A126" w:rsidR="00967594" w:rsidRDefault="00967594" w:rsidP="00A608AD">
      <w:pPr>
        <w:jc w:val="center"/>
        <w:rPr>
          <w:rFonts w:ascii="Times New Roman" w:hAnsi="Times New Roman" w:cs="Times New Roman"/>
        </w:rPr>
      </w:pPr>
    </w:p>
    <w:p w14:paraId="02CB0BF2" w14:textId="1CA39D3E" w:rsidR="00967594" w:rsidRDefault="00967594" w:rsidP="00A608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Herma </w:t>
      </w:r>
      <w:proofErr w:type="spellStart"/>
      <w:r>
        <w:rPr>
          <w:rFonts w:ascii="Times New Roman" w:hAnsi="Times New Roman" w:cs="Times New Roman"/>
        </w:rPr>
        <w:t>Wiharno</w:t>
      </w:r>
      <w:proofErr w:type="spellEnd"/>
    </w:p>
    <w:p w14:paraId="4BD40EDE" w14:textId="6D9C9B51" w:rsidR="00967594" w:rsidRDefault="00967594" w:rsidP="00A608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Universitas </w:t>
      </w:r>
      <w:proofErr w:type="spellStart"/>
      <w:r>
        <w:rPr>
          <w:rFonts w:ascii="Times New Roman" w:hAnsi="Times New Roman" w:cs="Times New Roman"/>
        </w:rPr>
        <w:t>Kuningan</w:t>
      </w:r>
      <w:proofErr w:type="spellEnd"/>
    </w:p>
    <w:p w14:paraId="2BFF62BF" w14:textId="24357450" w:rsidR="00967594" w:rsidRDefault="00AE5A9D" w:rsidP="00A608AD">
      <w:pPr>
        <w:jc w:val="center"/>
        <w:rPr>
          <w:rFonts w:ascii="Times New Roman" w:hAnsi="Times New Roman" w:cs="Times New Roman"/>
        </w:rPr>
      </w:pPr>
      <w:hyperlink r:id="rId6" w:history="1">
        <w:r w:rsidR="00967594" w:rsidRPr="002510EA">
          <w:rPr>
            <w:rStyle w:val="Hyperlink"/>
            <w:rFonts w:ascii="Times New Roman" w:hAnsi="Times New Roman" w:cs="Times New Roman"/>
          </w:rPr>
          <w:t>Herma.wiharno@uniku.ac.id</w:t>
        </w:r>
      </w:hyperlink>
    </w:p>
    <w:p w14:paraId="17AE869D" w14:textId="31BBDE35" w:rsidR="00967594" w:rsidRDefault="00967594" w:rsidP="00A608AD">
      <w:pPr>
        <w:jc w:val="center"/>
        <w:rPr>
          <w:rFonts w:ascii="Times New Roman" w:hAnsi="Times New Roman" w:cs="Times New Roman"/>
        </w:rPr>
      </w:pPr>
    </w:p>
    <w:p w14:paraId="0F485320" w14:textId="73B0891E" w:rsidR="00967594" w:rsidRDefault="00967594" w:rsidP="00A608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Dede </w:t>
      </w:r>
      <w:proofErr w:type="spellStart"/>
      <w:r>
        <w:rPr>
          <w:rFonts w:ascii="Times New Roman" w:hAnsi="Times New Roman" w:cs="Times New Roman"/>
        </w:rPr>
        <w:t>Djuniardi</w:t>
      </w:r>
      <w:proofErr w:type="spellEnd"/>
    </w:p>
    <w:p w14:paraId="568930EB" w14:textId="7B52297F" w:rsidR="00967594" w:rsidRDefault="00967594" w:rsidP="00A608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Universitas </w:t>
      </w:r>
      <w:proofErr w:type="spellStart"/>
      <w:r>
        <w:rPr>
          <w:rFonts w:ascii="Times New Roman" w:hAnsi="Times New Roman" w:cs="Times New Roman"/>
        </w:rPr>
        <w:t>Kuningan</w:t>
      </w:r>
      <w:proofErr w:type="spellEnd"/>
    </w:p>
    <w:p w14:paraId="1A0EDFC8" w14:textId="5F1CA797" w:rsidR="00967594" w:rsidRDefault="00AE5A9D" w:rsidP="00A608AD">
      <w:pPr>
        <w:jc w:val="center"/>
        <w:rPr>
          <w:rFonts w:ascii="Times New Roman" w:hAnsi="Times New Roman" w:cs="Times New Roman"/>
        </w:rPr>
      </w:pPr>
      <w:hyperlink r:id="rId7" w:history="1">
        <w:r w:rsidR="00967594" w:rsidRPr="002510EA">
          <w:rPr>
            <w:rStyle w:val="Hyperlink"/>
            <w:rFonts w:ascii="Times New Roman" w:hAnsi="Times New Roman" w:cs="Times New Roman"/>
          </w:rPr>
          <w:t>Dede.djuniardi@uniku.ac.id</w:t>
        </w:r>
      </w:hyperlink>
    </w:p>
    <w:p w14:paraId="435FE159" w14:textId="69562E02" w:rsidR="00967594" w:rsidRDefault="00967594" w:rsidP="00A608AD">
      <w:pPr>
        <w:jc w:val="center"/>
        <w:rPr>
          <w:rFonts w:ascii="Times New Roman" w:hAnsi="Times New Roman" w:cs="Times New Roman"/>
        </w:rPr>
      </w:pPr>
    </w:p>
    <w:p w14:paraId="2A3000FB" w14:textId="305B635F" w:rsidR="00967594" w:rsidRPr="00A608AD" w:rsidRDefault="00967594" w:rsidP="00A608AD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608AD">
        <w:rPr>
          <w:rFonts w:ascii="Times New Roman" w:hAnsi="Times New Roman" w:cs="Times New Roman"/>
          <w:b/>
          <w:i/>
          <w:sz w:val="22"/>
          <w:szCs w:val="22"/>
        </w:rPr>
        <w:t xml:space="preserve">Abstract </w:t>
      </w:r>
    </w:p>
    <w:p w14:paraId="3D000F86" w14:textId="7A22F2C2" w:rsidR="00967594" w:rsidRPr="00A608AD" w:rsidRDefault="00967594" w:rsidP="00A608AD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37459C7" w14:textId="626F6F61" w:rsidR="00A608AD" w:rsidRPr="00225777" w:rsidRDefault="000367CF" w:rsidP="00225777">
      <w:pPr>
        <w:pStyle w:val="NoSpacing"/>
        <w:shd w:val="clear" w:color="auto" w:fill="FFFFFF" w:themeFill="background1"/>
        <w:ind w:firstLine="720"/>
        <w:rPr>
          <w:rFonts w:ascii="Times New Roman"/>
          <w:lang w:val="id-ID"/>
        </w:rPr>
      </w:pPr>
      <w:r w:rsidRPr="00225777">
        <w:rPr>
          <w:rFonts w:ascii="Times New Roman"/>
          <w:lang w:val="id-ID"/>
        </w:rPr>
        <w:t xml:space="preserve">The </w:t>
      </w:r>
      <w:proofErr w:type="spellStart"/>
      <w:r w:rsidRPr="00225777">
        <w:rPr>
          <w:rFonts w:ascii="Times New Roman"/>
          <w:lang w:val="id-ID"/>
        </w:rPr>
        <w:t>objective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of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this</w:t>
      </w:r>
      <w:proofErr w:type="spellEnd"/>
      <w:r w:rsidRPr="00225777">
        <w:rPr>
          <w:rFonts w:ascii="Times New Roman"/>
          <w:lang w:val="id-ID"/>
        </w:rPr>
        <w:t xml:space="preserve"> study were </w:t>
      </w:r>
      <w:proofErr w:type="spellStart"/>
      <w:r w:rsidRPr="00225777">
        <w:rPr>
          <w:rFonts w:ascii="Times New Roman"/>
          <w:lang w:val="id-ID"/>
        </w:rPr>
        <w:t>to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examine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the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influence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of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demography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and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financial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literacy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on</w:t>
      </w:r>
      <w:proofErr w:type="spellEnd"/>
      <w:r w:rsidRPr="00225777">
        <w:rPr>
          <w:rFonts w:ascii="Times New Roman"/>
          <w:lang w:val="id-ID"/>
        </w:rPr>
        <w:t xml:space="preserve"> personal </w:t>
      </w:r>
      <w:proofErr w:type="spellStart"/>
      <w:r w:rsidRPr="00225777">
        <w:rPr>
          <w:rFonts w:ascii="Times New Roman"/>
          <w:lang w:val="id-ID"/>
        </w:rPr>
        <w:t>financial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management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practice</w:t>
      </w:r>
      <w:proofErr w:type="spellEnd"/>
      <w:r w:rsidRPr="00225777">
        <w:rPr>
          <w:rFonts w:ascii="Times New Roman"/>
        </w:rPr>
        <w:t>.</w:t>
      </w:r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Demographics</w:t>
      </w:r>
      <w:proofErr w:type="spellEnd"/>
      <w:r w:rsidRPr="00225777">
        <w:rPr>
          <w:rFonts w:ascii="Times New Roman"/>
          <w:lang w:val="id-ID"/>
        </w:rPr>
        <w:t xml:space="preserve"> in </w:t>
      </w:r>
      <w:proofErr w:type="spellStart"/>
      <w:r w:rsidRPr="00225777">
        <w:rPr>
          <w:rFonts w:ascii="Times New Roman"/>
          <w:lang w:val="id-ID"/>
        </w:rPr>
        <w:t>this</w:t>
      </w:r>
      <w:proofErr w:type="spellEnd"/>
      <w:r w:rsidRPr="00225777">
        <w:rPr>
          <w:rFonts w:ascii="Times New Roman"/>
          <w:lang w:val="id-ID"/>
        </w:rPr>
        <w:t xml:space="preserve"> study were </w:t>
      </w:r>
      <w:proofErr w:type="spellStart"/>
      <w:r w:rsidRPr="00225777">
        <w:rPr>
          <w:rFonts w:ascii="Times New Roman"/>
          <w:lang w:val="id-ID"/>
        </w:rPr>
        <w:t>devided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into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dimensions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of</w:t>
      </w:r>
      <w:proofErr w:type="spellEnd"/>
      <w:r w:rsidRPr="00225777">
        <w:rPr>
          <w:rFonts w:ascii="Times New Roman"/>
          <w:lang w:val="id-ID"/>
        </w:rPr>
        <w:t xml:space="preserve"> gender, </w:t>
      </w:r>
      <w:proofErr w:type="spellStart"/>
      <w:r w:rsidRPr="00225777">
        <w:rPr>
          <w:rFonts w:ascii="Times New Roman"/>
          <w:lang w:val="id-ID"/>
        </w:rPr>
        <w:t>education</w:t>
      </w:r>
      <w:proofErr w:type="spellEnd"/>
      <w:r w:rsidRPr="00225777">
        <w:rPr>
          <w:rFonts w:ascii="Times New Roman"/>
          <w:lang w:val="id-ID"/>
        </w:rPr>
        <w:t xml:space="preserve"> level, </w:t>
      </w:r>
      <w:proofErr w:type="spellStart"/>
      <w:r w:rsidRPr="00225777">
        <w:rPr>
          <w:rFonts w:ascii="Times New Roman"/>
          <w:lang w:val="id-ID"/>
        </w:rPr>
        <w:t>age</w:t>
      </w:r>
      <w:proofErr w:type="spellEnd"/>
      <w:r w:rsidRPr="00225777">
        <w:rPr>
          <w:rFonts w:ascii="Times New Roman"/>
          <w:lang w:val="id-ID"/>
        </w:rPr>
        <w:t xml:space="preserve">, </w:t>
      </w:r>
      <w:proofErr w:type="spellStart"/>
      <w:r w:rsidRPr="00225777">
        <w:rPr>
          <w:rFonts w:ascii="Times New Roman"/>
          <w:lang w:val="id-ID"/>
        </w:rPr>
        <w:t>number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of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dependents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and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salary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class</w:t>
      </w:r>
      <w:proofErr w:type="spellEnd"/>
      <w:r w:rsidRPr="00225777">
        <w:rPr>
          <w:rFonts w:ascii="Times New Roman"/>
        </w:rPr>
        <w:t xml:space="preserve">. </w:t>
      </w:r>
      <w:proofErr w:type="spellStart"/>
      <w:r w:rsidRPr="00225777">
        <w:rPr>
          <w:rFonts w:ascii="Times New Roman"/>
          <w:lang w:val="id-ID"/>
        </w:rPr>
        <w:t>While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financial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literacy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was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devided</w:t>
      </w:r>
      <w:proofErr w:type="spellEnd"/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into</w:t>
      </w:r>
      <w:proofErr w:type="spellEnd"/>
      <w:r w:rsidRPr="00225777">
        <w:rPr>
          <w:rFonts w:ascii="Times New Roman"/>
          <w:lang w:val="id-ID"/>
        </w:rPr>
        <w:t xml:space="preserve"> </w:t>
      </w:r>
      <w:r w:rsidRPr="00225777">
        <w:rPr>
          <w:rFonts w:ascii="Times New Roman"/>
        </w:rPr>
        <w:t>financial Knowledge</w:t>
      </w:r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dimension</w:t>
      </w:r>
      <w:proofErr w:type="spellEnd"/>
      <w:r w:rsidRPr="00225777">
        <w:rPr>
          <w:rFonts w:ascii="Times New Roman"/>
          <w:lang w:val="id-ID"/>
        </w:rPr>
        <w:t xml:space="preserve">, </w:t>
      </w:r>
      <w:r w:rsidRPr="00225777">
        <w:rPr>
          <w:rFonts w:ascii="Times New Roman"/>
        </w:rPr>
        <w:t>financial behavior</w:t>
      </w:r>
      <w:r w:rsidRPr="00225777">
        <w:rPr>
          <w:rFonts w:ascii="Times New Roman"/>
          <w:lang w:val="id-ID"/>
        </w:rPr>
        <w:t xml:space="preserve"> </w:t>
      </w:r>
      <w:proofErr w:type="spellStart"/>
      <w:r w:rsidRPr="00225777">
        <w:rPr>
          <w:rFonts w:ascii="Times New Roman"/>
          <w:lang w:val="id-ID"/>
        </w:rPr>
        <w:t>and</w:t>
      </w:r>
      <w:proofErr w:type="spellEnd"/>
      <w:r w:rsidRPr="00225777">
        <w:rPr>
          <w:rFonts w:ascii="Times New Roman"/>
          <w:lang w:val="id-ID"/>
        </w:rPr>
        <w:t xml:space="preserve"> </w:t>
      </w:r>
      <w:r w:rsidRPr="00225777">
        <w:rPr>
          <w:rFonts w:ascii="Times New Roman"/>
        </w:rPr>
        <w:t>financial attitude</w:t>
      </w:r>
      <w:r w:rsidRPr="00225777">
        <w:rPr>
          <w:rFonts w:ascii="Times New Roman"/>
          <w:lang w:val="id-ID"/>
        </w:rPr>
        <w:t>.</w:t>
      </w:r>
      <w:r w:rsidR="00C111ED" w:rsidRPr="00225777">
        <w:rPr>
          <w:rFonts w:ascii="Times New Roman"/>
        </w:rPr>
        <w:t xml:space="preserve"> </w:t>
      </w:r>
      <w:r w:rsidR="00C111ED" w:rsidRPr="00225777">
        <w:rPr>
          <w:rFonts w:ascii="Times New Roman"/>
          <w:lang w:val="id-ID"/>
        </w:rPr>
        <w:t xml:space="preserve">The </w:t>
      </w:r>
      <w:proofErr w:type="spellStart"/>
      <w:r w:rsidR="00C111ED" w:rsidRPr="00225777">
        <w:rPr>
          <w:rFonts w:ascii="Times New Roman"/>
          <w:lang w:val="id-ID"/>
        </w:rPr>
        <w:t>amount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of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samples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used</w:t>
      </w:r>
      <w:proofErr w:type="spellEnd"/>
      <w:r w:rsidR="00C111ED" w:rsidRPr="00225777">
        <w:rPr>
          <w:rFonts w:ascii="Times New Roman"/>
          <w:lang w:val="id-ID"/>
        </w:rPr>
        <w:t xml:space="preserve"> were 37</w:t>
      </w:r>
      <w:r w:rsidR="00C111ED" w:rsidRPr="00225777">
        <w:rPr>
          <w:rFonts w:ascii="Times New Roman"/>
        </w:rPr>
        <w:t>5</w:t>
      </w:r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teachers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with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Cluster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Proportional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Random</w:t>
      </w:r>
      <w:proofErr w:type="spellEnd"/>
      <w:r w:rsidR="00C111ED" w:rsidRPr="00225777">
        <w:rPr>
          <w:rFonts w:ascii="Times New Roman"/>
          <w:lang w:val="id-ID"/>
        </w:rPr>
        <w:t xml:space="preserve"> Sampling. </w:t>
      </w:r>
      <w:proofErr w:type="spellStart"/>
      <w:r w:rsidR="00C111ED" w:rsidRPr="00225777">
        <w:rPr>
          <w:rFonts w:ascii="Times New Roman"/>
          <w:lang w:val="id-ID"/>
        </w:rPr>
        <w:t>Logistic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Regression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with</w:t>
      </w:r>
      <w:proofErr w:type="spellEnd"/>
      <w:r w:rsidR="00C111ED" w:rsidRPr="00225777">
        <w:rPr>
          <w:rFonts w:ascii="Times New Roman"/>
          <w:lang w:val="id-ID"/>
        </w:rPr>
        <w:t xml:space="preserve"> SPSS 19 </w:t>
      </w:r>
      <w:proofErr w:type="spellStart"/>
      <w:r w:rsidR="00C111ED" w:rsidRPr="00225777">
        <w:rPr>
          <w:rFonts w:ascii="Times New Roman"/>
          <w:lang w:val="id-ID"/>
        </w:rPr>
        <w:t>and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Minitab</w:t>
      </w:r>
      <w:proofErr w:type="spellEnd"/>
      <w:r w:rsidR="00C111ED" w:rsidRPr="00225777">
        <w:rPr>
          <w:rFonts w:ascii="Times New Roman"/>
          <w:lang w:val="id-ID"/>
        </w:rPr>
        <w:t xml:space="preserve"> 16 </w:t>
      </w:r>
      <w:proofErr w:type="spellStart"/>
      <w:r w:rsidR="00C111ED" w:rsidRPr="00225777">
        <w:rPr>
          <w:rFonts w:ascii="Times New Roman"/>
          <w:lang w:val="id-ID"/>
        </w:rPr>
        <w:t>used</w:t>
      </w:r>
      <w:proofErr w:type="spellEnd"/>
      <w:r w:rsidR="00C111ED" w:rsidRPr="00225777">
        <w:rPr>
          <w:rFonts w:ascii="Times New Roman"/>
          <w:lang w:val="id-ID"/>
        </w:rPr>
        <w:t xml:space="preserve"> as </w:t>
      </w:r>
      <w:proofErr w:type="spellStart"/>
      <w:r w:rsidR="00C111ED" w:rsidRPr="00225777">
        <w:rPr>
          <w:rFonts w:ascii="Times New Roman"/>
          <w:lang w:val="id-ID"/>
        </w:rPr>
        <w:t>technique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of</w:t>
      </w:r>
      <w:proofErr w:type="spellEnd"/>
      <w:r w:rsidR="00C111ED" w:rsidRPr="00225777">
        <w:rPr>
          <w:rFonts w:ascii="Times New Roman"/>
          <w:lang w:val="id-ID"/>
        </w:rPr>
        <w:t xml:space="preserve"> </w:t>
      </w:r>
      <w:proofErr w:type="spellStart"/>
      <w:r w:rsidR="00C111ED" w:rsidRPr="00225777">
        <w:rPr>
          <w:rFonts w:ascii="Times New Roman"/>
          <w:lang w:val="id-ID"/>
        </w:rPr>
        <w:t>analysis</w:t>
      </w:r>
      <w:proofErr w:type="spellEnd"/>
      <w:r w:rsidR="00C111ED" w:rsidRPr="00225777">
        <w:rPr>
          <w:rFonts w:ascii="Times New Roman"/>
          <w:lang w:val="id-ID"/>
        </w:rPr>
        <w:t xml:space="preserve">. </w:t>
      </w:r>
      <w:r w:rsidR="00A608AD" w:rsidRPr="00225777">
        <w:rPr>
          <w:rFonts w:ascii="Times New Roman"/>
          <w:lang w:val="id-ID"/>
        </w:rPr>
        <w:t xml:space="preserve">The </w:t>
      </w:r>
      <w:proofErr w:type="spellStart"/>
      <w:r w:rsidR="00A608AD" w:rsidRPr="00225777">
        <w:rPr>
          <w:rFonts w:ascii="Times New Roman"/>
          <w:lang w:val="id-ID"/>
        </w:rPr>
        <w:t>analysis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showed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that</w:t>
      </w:r>
      <w:proofErr w:type="spellEnd"/>
      <w:r w:rsidR="00A608AD" w:rsidRPr="00225777">
        <w:rPr>
          <w:rFonts w:ascii="Times New Roman"/>
          <w:lang w:val="id-ID"/>
        </w:rPr>
        <w:t xml:space="preserve"> gender, </w:t>
      </w:r>
      <w:proofErr w:type="spellStart"/>
      <w:r w:rsidR="00A608AD" w:rsidRPr="00225777">
        <w:rPr>
          <w:rFonts w:ascii="Times New Roman"/>
          <w:lang w:val="id-ID"/>
        </w:rPr>
        <w:t>education</w:t>
      </w:r>
      <w:proofErr w:type="spellEnd"/>
      <w:r w:rsidR="00A608AD" w:rsidRPr="00225777">
        <w:rPr>
          <w:rFonts w:ascii="Times New Roman"/>
          <w:lang w:val="id-ID"/>
        </w:rPr>
        <w:t xml:space="preserve"> level, </w:t>
      </w:r>
      <w:proofErr w:type="spellStart"/>
      <w:r w:rsidR="00A608AD" w:rsidRPr="00225777">
        <w:rPr>
          <w:rFonts w:ascii="Times New Roman"/>
          <w:lang w:val="id-ID"/>
        </w:rPr>
        <w:t>age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number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dependents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salary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class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knowledge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behavior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and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attitudes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together</w:t>
      </w:r>
      <w:proofErr w:type="spellEnd"/>
      <w:r w:rsidR="00A608AD" w:rsidRPr="00225777">
        <w:rPr>
          <w:rFonts w:ascii="Times New Roman"/>
          <w:lang w:val="id-ID"/>
        </w:rPr>
        <w:t xml:space="preserve"> had a </w:t>
      </w:r>
      <w:proofErr w:type="spellStart"/>
      <w:r w:rsidR="00A608AD" w:rsidRPr="00225777">
        <w:rPr>
          <w:rFonts w:ascii="Times New Roman"/>
          <w:lang w:val="id-ID"/>
        </w:rPr>
        <w:t>significant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effect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on</w:t>
      </w:r>
      <w:proofErr w:type="spellEnd"/>
      <w:r w:rsidR="00A608AD" w:rsidRPr="00225777">
        <w:rPr>
          <w:rFonts w:ascii="Times New Roman"/>
          <w:lang w:val="id-ID"/>
        </w:rPr>
        <w:t xml:space="preserve"> personal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management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practices</w:t>
      </w:r>
      <w:proofErr w:type="spellEnd"/>
      <w:r w:rsidR="00A608AD" w:rsidRPr="00225777">
        <w:rPr>
          <w:rFonts w:ascii="Times New Roman"/>
          <w:lang w:val="id-ID"/>
        </w:rPr>
        <w:t xml:space="preserve">. </w:t>
      </w:r>
      <w:proofErr w:type="spellStart"/>
      <w:r w:rsidR="00A608AD" w:rsidRPr="00225777">
        <w:rPr>
          <w:rFonts w:ascii="Times New Roman"/>
          <w:lang w:val="id-ID"/>
        </w:rPr>
        <w:t>Mean</w:t>
      </w:r>
      <w:proofErr w:type="spellEnd"/>
      <w:r w:rsidR="00A608AD" w:rsidRPr="00225777">
        <w:rPr>
          <w:rFonts w:ascii="Times New Roman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while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partially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only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variables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age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number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dependents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salary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class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knowledge</w:t>
      </w:r>
      <w:proofErr w:type="spellEnd"/>
      <w:r w:rsidR="00A608AD" w:rsidRPr="00225777">
        <w:rPr>
          <w:rFonts w:ascii="Times New Roman"/>
          <w:lang w:val="id-ID"/>
        </w:rPr>
        <w:t xml:space="preserve"> (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knowledge</w:t>
      </w:r>
      <w:proofErr w:type="spellEnd"/>
      <w:r w:rsidR="00A608AD" w:rsidRPr="00225777">
        <w:rPr>
          <w:rFonts w:ascii="Times New Roman"/>
          <w:lang w:val="id-ID"/>
        </w:rPr>
        <w:t xml:space="preserve">), </w:t>
      </w:r>
      <w:proofErr w:type="spellStart"/>
      <w:r w:rsidR="00A608AD" w:rsidRPr="00225777">
        <w:rPr>
          <w:rFonts w:ascii="Times New Roman"/>
          <w:lang w:val="id-ID"/>
        </w:rPr>
        <w:t>and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behavior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have</w:t>
      </w:r>
      <w:proofErr w:type="spellEnd"/>
      <w:r w:rsidR="00A608AD" w:rsidRPr="00225777">
        <w:rPr>
          <w:rFonts w:ascii="Times New Roman"/>
          <w:lang w:val="id-ID"/>
        </w:rPr>
        <w:t xml:space="preserve"> a </w:t>
      </w:r>
      <w:proofErr w:type="spellStart"/>
      <w:r w:rsidR="00A608AD" w:rsidRPr="00225777">
        <w:rPr>
          <w:rFonts w:ascii="Times New Roman"/>
          <w:lang w:val="id-ID"/>
        </w:rPr>
        <w:t>significant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effect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on</w:t>
      </w:r>
      <w:proofErr w:type="spellEnd"/>
      <w:r w:rsidR="00A608AD" w:rsidRPr="00225777">
        <w:rPr>
          <w:rFonts w:ascii="Times New Roman"/>
          <w:lang w:val="id-ID"/>
        </w:rPr>
        <w:t xml:space="preserve"> personal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management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practices</w:t>
      </w:r>
      <w:proofErr w:type="spellEnd"/>
      <w:r w:rsidR="00A608AD" w:rsidRPr="00225777">
        <w:rPr>
          <w:rFonts w:ascii="Times New Roman"/>
          <w:lang w:val="id-ID"/>
        </w:rPr>
        <w:t xml:space="preserve">. </w:t>
      </w:r>
      <w:proofErr w:type="spellStart"/>
      <w:r w:rsidR="00A608AD" w:rsidRPr="00225777">
        <w:rPr>
          <w:rFonts w:ascii="Times New Roman"/>
          <w:lang w:val="id-ID"/>
        </w:rPr>
        <w:t>Meanwhile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variables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gender, </w:t>
      </w:r>
      <w:proofErr w:type="spellStart"/>
      <w:r w:rsidR="00A608AD" w:rsidRPr="00225777">
        <w:rPr>
          <w:rFonts w:ascii="Times New Roman"/>
          <w:lang w:val="id-ID"/>
        </w:rPr>
        <w:t>education</w:t>
      </w:r>
      <w:proofErr w:type="spellEnd"/>
      <w:r w:rsidR="00A608AD" w:rsidRPr="00225777">
        <w:rPr>
          <w:rFonts w:ascii="Times New Roman"/>
          <w:lang w:val="id-ID"/>
        </w:rPr>
        <w:t xml:space="preserve"> level, </w:t>
      </w:r>
      <w:proofErr w:type="spellStart"/>
      <w:r w:rsidR="00A608AD" w:rsidRPr="00225777">
        <w:rPr>
          <w:rFonts w:ascii="Times New Roman"/>
          <w:lang w:val="id-ID"/>
        </w:rPr>
        <w:t>and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attitude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partially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have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no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significant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effect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on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personal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management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practice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PNS </w:t>
      </w:r>
      <w:proofErr w:type="spellStart"/>
      <w:r w:rsidR="00A608AD" w:rsidRPr="00225777">
        <w:rPr>
          <w:rFonts w:ascii="Times New Roman"/>
          <w:lang w:val="id-ID"/>
        </w:rPr>
        <w:t>teachers</w:t>
      </w:r>
      <w:proofErr w:type="spellEnd"/>
      <w:r w:rsidR="00A608AD" w:rsidRPr="00225777">
        <w:rPr>
          <w:rFonts w:ascii="Times New Roman"/>
          <w:lang w:val="id-ID"/>
        </w:rPr>
        <w:t xml:space="preserve"> in Kuningan Regency. The </w:t>
      </w:r>
      <w:proofErr w:type="spellStart"/>
      <w:r w:rsidR="00A608AD" w:rsidRPr="00225777">
        <w:rPr>
          <w:rFonts w:ascii="Times New Roman"/>
          <w:lang w:val="id-ID"/>
        </w:rPr>
        <w:t>magnitude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contribution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or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influence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variables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gender, </w:t>
      </w:r>
      <w:proofErr w:type="spellStart"/>
      <w:r w:rsidR="00A608AD" w:rsidRPr="00225777">
        <w:rPr>
          <w:rFonts w:ascii="Times New Roman"/>
          <w:lang w:val="id-ID"/>
        </w:rPr>
        <w:t>education</w:t>
      </w:r>
      <w:proofErr w:type="spellEnd"/>
      <w:r w:rsidR="00A608AD" w:rsidRPr="00225777">
        <w:rPr>
          <w:rFonts w:ascii="Times New Roman"/>
          <w:lang w:val="id-ID"/>
        </w:rPr>
        <w:t xml:space="preserve"> level, </w:t>
      </w:r>
      <w:proofErr w:type="spellStart"/>
      <w:r w:rsidR="00A608AD" w:rsidRPr="00225777">
        <w:rPr>
          <w:rFonts w:ascii="Times New Roman"/>
          <w:lang w:val="id-ID"/>
        </w:rPr>
        <w:t>age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and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salary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group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knowledge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behavior</w:t>
      </w:r>
      <w:proofErr w:type="spellEnd"/>
      <w:r w:rsidR="00A608AD" w:rsidRPr="00225777">
        <w:rPr>
          <w:rFonts w:ascii="Times New Roman"/>
          <w:lang w:val="id-ID"/>
        </w:rPr>
        <w:t xml:space="preserve">, </w:t>
      </w:r>
      <w:proofErr w:type="spellStart"/>
      <w:r w:rsidR="00A608AD" w:rsidRPr="00225777">
        <w:rPr>
          <w:rFonts w:ascii="Times New Roman"/>
          <w:lang w:val="id-ID"/>
        </w:rPr>
        <w:t>and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attitude</w:t>
      </w:r>
      <w:proofErr w:type="spellEnd"/>
      <w:r w:rsidR="00A608AD" w:rsidRPr="00225777">
        <w:rPr>
          <w:rFonts w:ascii="Times New Roman"/>
        </w:rPr>
        <w:t xml:space="preserve"> </w:t>
      </w:r>
      <w:r w:rsidR="00A608AD" w:rsidRPr="00225777">
        <w:rPr>
          <w:rFonts w:ascii="Times New Roman"/>
          <w:lang w:val="id-ID"/>
        </w:rPr>
        <w:t xml:space="preserve">personal </w:t>
      </w:r>
      <w:proofErr w:type="spellStart"/>
      <w:r w:rsidR="00A608AD" w:rsidRPr="00225777">
        <w:rPr>
          <w:rFonts w:ascii="Times New Roman"/>
          <w:lang w:val="id-ID"/>
        </w:rPr>
        <w:t>financial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management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practice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is</w:t>
      </w:r>
      <w:proofErr w:type="spellEnd"/>
      <w:r w:rsidR="00A608AD" w:rsidRPr="00225777">
        <w:rPr>
          <w:rFonts w:ascii="Times New Roman"/>
          <w:lang w:val="id-ID"/>
        </w:rPr>
        <w:t xml:space="preserve"> 42.1%,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rest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remaining</w:t>
      </w:r>
      <w:proofErr w:type="spellEnd"/>
      <w:r w:rsidR="00A608AD" w:rsidRPr="00225777">
        <w:rPr>
          <w:rFonts w:ascii="Times New Roman"/>
          <w:lang w:val="id-ID"/>
        </w:rPr>
        <w:t xml:space="preserve"> 57.9% </w:t>
      </w:r>
      <w:proofErr w:type="spellStart"/>
      <w:r w:rsidR="00A608AD" w:rsidRPr="00225777">
        <w:rPr>
          <w:rFonts w:ascii="Times New Roman"/>
          <w:lang w:val="id-ID"/>
        </w:rPr>
        <w:t>is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contribution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of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variables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outside</w:t>
      </w:r>
      <w:proofErr w:type="spellEnd"/>
      <w:r w:rsidR="00A608AD" w:rsidRPr="00225777">
        <w:rPr>
          <w:rFonts w:ascii="Times New Roman"/>
          <w:lang w:val="id-ID"/>
        </w:rPr>
        <w:t xml:space="preserve"> </w:t>
      </w:r>
      <w:proofErr w:type="spellStart"/>
      <w:r w:rsidR="00A608AD" w:rsidRPr="00225777">
        <w:rPr>
          <w:rFonts w:ascii="Times New Roman"/>
          <w:lang w:val="id-ID"/>
        </w:rPr>
        <w:t>the</w:t>
      </w:r>
      <w:proofErr w:type="spellEnd"/>
      <w:r w:rsidR="00A608AD" w:rsidRPr="00225777">
        <w:rPr>
          <w:rFonts w:ascii="Times New Roman"/>
          <w:lang w:val="id-ID"/>
        </w:rPr>
        <w:t xml:space="preserve"> model.</w:t>
      </w:r>
    </w:p>
    <w:p w14:paraId="6810BF24" w14:textId="77777777" w:rsidR="00A608AD" w:rsidRPr="00225777" w:rsidRDefault="00A608AD" w:rsidP="00A608AD">
      <w:pPr>
        <w:pStyle w:val="NoSpacing"/>
        <w:shd w:val="clear" w:color="auto" w:fill="FFFFFF" w:themeFill="background1"/>
        <w:ind w:firstLine="720"/>
        <w:rPr>
          <w:rFonts w:ascii="Times New Roman"/>
          <w:lang w:val="id-ID"/>
        </w:rPr>
      </w:pPr>
    </w:p>
    <w:p w14:paraId="3069B5C7" w14:textId="77777777" w:rsidR="00A608AD" w:rsidRPr="00225777" w:rsidRDefault="00A608AD" w:rsidP="00A608AD">
      <w:pPr>
        <w:jc w:val="both"/>
        <w:rPr>
          <w:rFonts w:ascii="Times New Roman" w:hAnsi="Times New Roman" w:cs="Times New Roman"/>
          <w:b/>
          <w:i/>
          <w:sz w:val="20"/>
          <w:szCs w:val="20"/>
          <w:lang w:val="id-ID"/>
        </w:rPr>
      </w:pP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Keywords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: gender,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education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level,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age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numbers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of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dependent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salary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class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financial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knowledge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financial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behaviour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financial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attitude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, personal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financial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management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 xml:space="preserve"> </w:t>
      </w:r>
      <w:proofErr w:type="spellStart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practice</w:t>
      </w:r>
      <w:proofErr w:type="spellEnd"/>
      <w:r w:rsidRPr="00225777">
        <w:rPr>
          <w:rFonts w:ascii="Times New Roman" w:hAnsi="Times New Roman" w:cs="Times New Roman"/>
          <w:b/>
          <w:i/>
          <w:sz w:val="20"/>
          <w:szCs w:val="20"/>
          <w:lang w:val="id-ID"/>
        </w:rPr>
        <w:t>.</w:t>
      </w:r>
    </w:p>
    <w:p w14:paraId="735837E8" w14:textId="77777777" w:rsidR="00225777" w:rsidRDefault="00225777" w:rsidP="00225777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14:paraId="65E238BD" w14:textId="32A79848" w:rsidR="00225777" w:rsidRDefault="00225777" w:rsidP="00967594">
      <w:pPr>
        <w:rPr>
          <w:rFonts w:ascii="Times New Roman" w:hAnsi="Times New Roman" w:cs="Times New Roman"/>
          <w:sz w:val="20"/>
          <w:szCs w:val="20"/>
        </w:rPr>
      </w:pPr>
    </w:p>
    <w:p w14:paraId="6289D207" w14:textId="5C4B4882" w:rsidR="00225777" w:rsidRDefault="00225777" w:rsidP="00967594">
      <w:pPr>
        <w:rPr>
          <w:rFonts w:ascii="Times New Roman" w:hAnsi="Times New Roman" w:cs="Times New Roman"/>
          <w:sz w:val="20"/>
          <w:szCs w:val="20"/>
        </w:rPr>
      </w:pPr>
    </w:p>
    <w:p w14:paraId="5BBBDF9B" w14:textId="517E21F0" w:rsidR="00225777" w:rsidRDefault="00225777" w:rsidP="00967594">
      <w:pPr>
        <w:rPr>
          <w:rFonts w:ascii="Times New Roman" w:hAnsi="Times New Roman" w:cs="Times New Roman"/>
          <w:sz w:val="20"/>
          <w:szCs w:val="20"/>
        </w:rPr>
      </w:pPr>
    </w:p>
    <w:p w14:paraId="3AC9BA36" w14:textId="77777777" w:rsidR="00C27AA6" w:rsidRDefault="00C27AA6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  <w:sectPr w:rsidR="00C27AA6" w:rsidSect="00C27AA6">
          <w:pgSz w:w="11904" w:h="16836" w:code="9"/>
          <w:pgMar w:top="1701" w:right="1701" w:bottom="1701" w:left="1701" w:header="720" w:footer="720" w:gutter="0"/>
          <w:cols w:space="708"/>
          <w:docGrid w:linePitch="360"/>
        </w:sectPr>
      </w:pPr>
    </w:p>
    <w:p w14:paraId="6EE8CBDA" w14:textId="0B74A7AF" w:rsidR="00225777" w:rsidRPr="00C27AA6" w:rsidRDefault="00225777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lastRenderedPageBreak/>
        <w:t>PENDAHULUAN</w:t>
      </w:r>
    </w:p>
    <w:p w14:paraId="6AE7A581" w14:textId="77777777" w:rsidR="007B7094" w:rsidRPr="00AE5A9D" w:rsidRDefault="00225777" w:rsidP="000B384C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Keterampilan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mengelola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utama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memastikan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ketidakpastian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di masa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depan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Konsep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didukung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adanya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keterampilan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menyelesaikan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permasalahan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financial.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Albeerdy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Gharledghi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(2015) “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mengelola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memberikan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manfaat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komprehensif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berperilaku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seperti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konsep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pemahaman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berfungsi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institusi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hingga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tanggung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jawab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”.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implikasi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memaksimalkan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informasi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didukung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keterampilan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mengelola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diharapkan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mampu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memberikan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konsekwensi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logis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investasi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dimasa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mendatang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Kegagalan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memicu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munculnya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masalah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kesulitan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selanjutnya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berdampak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permaslahan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permasalahan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lain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seesorang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Parotta &amp; Johnson (1998) “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Kesulitan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Keuangan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ketidak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puasan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status Keuangan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menyebabkan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konflik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berujung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perceraian</w:t>
      </w:r>
      <w:proofErr w:type="spellEnd"/>
      <w:proofErr w:type="gramStart"/>
      <w:r w:rsidRPr="00AE5A9D">
        <w:rPr>
          <w:rFonts w:ascii="Times New Roman" w:hAnsi="Times New Roman" w:cs="Times New Roman"/>
          <w:sz w:val="22"/>
          <w:szCs w:val="22"/>
        </w:rPr>
        <w:t>”.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proofErr w:type="gram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hal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sangat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upaya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mencapai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kesejahteraan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Kegagalan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memicu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munculnya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masalah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kesulitan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selanjutnya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berdampak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kegagalan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mencapai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kesejahteraan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. Dan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sangat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Sering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sekali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melihat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fenomena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masyarakat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luas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mengalami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berbagai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masalah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salah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satunya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masalah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kesulitan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Keuangan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Kesulitan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juga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muncul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salahnya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(financial management)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tidak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dilakuannya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bukan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diakibatkan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pendapatan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sedikit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tetapi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kurangnya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Albeerdy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Gharledghi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(2015) “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mengelola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memberikan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manfaat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komprehensif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berperilaku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seperti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konsep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pemahaman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berfungsi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institusi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hingga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tanggung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jawab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”. Banyak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menentukan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keberhasilan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melakukan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Keuangan.</w:t>
      </w:r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Parrotta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&amp; Johnson (1996)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mendefinisikan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(financial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managenment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bentuk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menyangkut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implementasi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evaluasi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kas,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kredit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investasi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asuransi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masa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pensiun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Nidar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(2012)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beberapa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melek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diantaranya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internal (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) dan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eksternal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lingkungan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Kategori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faktor-faktor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diantaranya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demografi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sosial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ekonomi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pengalaman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pendidikan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ekonomi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lokasi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geografis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pertama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kauangan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451D" w:rsidRPr="00AE5A9D">
        <w:rPr>
          <w:rFonts w:ascii="Times New Roman" w:hAnsi="Times New Roman" w:cs="Times New Roman"/>
          <w:sz w:val="22"/>
          <w:szCs w:val="22"/>
        </w:rPr>
        <w:t>demografi</w:t>
      </w:r>
      <w:proofErr w:type="spellEnd"/>
      <w:r w:rsidR="00F9451D" w:rsidRPr="00AE5A9D">
        <w:rPr>
          <w:rFonts w:ascii="Times New Roman" w:hAnsi="Times New Roman" w:cs="Times New Roman"/>
          <w:sz w:val="22"/>
          <w:szCs w:val="22"/>
        </w:rPr>
        <w:t>.</w:t>
      </w:r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sosial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ekonomi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dampaknya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survey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kepada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daerah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penelitianya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social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ekonomi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terdiri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jenis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kelamin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Pendidikan,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tempat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tinggal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pendapatan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bersama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berpengaruh terhadap Manajemen Keuangan </w:t>
      </w:r>
      <w:proofErr w:type="spellStart"/>
      <w:proofErr w:type="gramStart"/>
      <w:r w:rsidR="007B7094" w:rsidRPr="00AE5A9D">
        <w:rPr>
          <w:rFonts w:ascii="Times New Roman" w:hAnsi="Times New Roman" w:cs="Times New Roman"/>
          <w:sz w:val="22"/>
          <w:szCs w:val="22"/>
        </w:rPr>
        <w:t>personal.tinggi</w:t>
      </w:r>
      <w:proofErr w:type="spellEnd"/>
      <w:proofErr w:type="gram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rendahnya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Keuangan personal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ditentukan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keterkaitan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interaksi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diantara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jenis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kelamin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Pendidikan,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tempat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tinggal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pendapatan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dimilikinya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. Tingkat Pendidikan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yang sangat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Manajemen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keuangaan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pendidikannya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 xml:space="preserve"> Manajemen Keuangan </w:t>
      </w:r>
      <w:proofErr w:type="spellStart"/>
      <w:r w:rsidR="007B7094" w:rsidRPr="00AE5A9D">
        <w:rPr>
          <w:rFonts w:ascii="Times New Roman" w:hAnsi="Times New Roman" w:cs="Times New Roman"/>
          <w:sz w:val="22"/>
          <w:szCs w:val="22"/>
        </w:rPr>
        <w:t>personalnya</w:t>
      </w:r>
      <w:proofErr w:type="spellEnd"/>
      <w:r w:rsidR="007B7094" w:rsidRPr="00AE5A9D">
        <w:rPr>
          <w:rFonts w:ascii="Times New Roman" w:hAnsi="Times New Roman" w:cs="Times New Roman"/>
          <w:sz w:val="22"/>
          <w:szCs w:val="22"/>
        </w:rPr>
        <w:t>.</w:t>
      </w:r>
    </w:p>
    <w:p w14:paraId="7919697D" w14:textId="77777777" w:rsidR="007B7094" w:rsidRPr="00AE5A9D" w:rsidRDefault="007B7094" w:rsidP="000B384C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A9D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lain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mempengaruh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Manajemen Keuangan personal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Keuangan.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Nyamute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(2010)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pengaruh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survey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kepada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Lembaga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perbankan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penelitianya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tidak. Responden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apresiasi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aplikasi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dikatakan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A9D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AE5A9D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5B13107E" w14:textId="77777777" w:rsidR="00132C0A" w:rsidRPr="00C27AA6" w:rsidRDefault="007B7094" w:rsidP="000B384C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AE5A9D">
        <w:rPr>
          <w:sz w:val="22"/>
          <w:szCs w:val="22"/>
        </w:rPr>
        <w:t>Literasi</w:t>
      </w:r>
      <w:proofErr w:type="spellEnd"/>
      <w:r w:rsidRPr="00AE5A9D">
        <w:rPr>
          <w:sz w:val="22"/>
          <w:szCs w:val="22"/>
        </w:rPr>
        <w:t xml:space="preserve"> </w:t>
      </w:r>
      <w:proofErr w:type="spellStart"/>
      <w:r w:rsidRPr="00AE5A9D">
        <w:rPr>
          <w:sz w:val="22"/>
          <w:szCs w:val="22"/>
        </w:rPr>
        <w:t>keuangan</w:t>
      </w:r>
      <w:proofErr w:type="spellEnd"/>
      <w:r w:rsidRPr="00AE5A9D">
        <w:rPr>
          <w:sz w:val="22"/>
          <w:szCs w:val="22"/>
        </w:rPr>
        <w:t xml:space="preserve"> </w:t>
      </w:r>
      <w:proofErr w:type="spellStart"/>
      <w:r w:rsidRPr="00AE5A9D">
        <w:rPr>
          <w:sz w:val="22"/>
          <w:szCs w:val="22"/>
        </w:rPr>
        <w:t>adalah</w:t>
      </w:r>
      <w:proofErr w:type="spellEnd"/>
      <w:r w:rsidRPr="00AE5A9D">
        <w:rPr>
          <w:sz w:val="22"/>
          <w:szCs w:val="22"/>
        </w:rPr>
        <w:t xml:space="preserve"> </w:t>
      </w:r>
      <w:proofErr w:type="spellStart"/>
      <w:r w:rsidRPr="00AE5A9D">
        <w:rPr>
          <w:sz w:val="22"/>
          <w:szCs w:val="22"/>
        </w:rPr>
        <w:t>kebutuhan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dasar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bagi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setiap</w:t>
      </w:r>
      <w:proofErr w:type="spellEnd"/>
      <w:r w:rsidRPr="00C27AA6">
        <w:rPr>
          <w:sz w:val="22"/>
          <w:szCs w:val="22"/>
        </w:rPr>
        <w:t xml:space="preserve"> orang agar </w:t>
      </w:r>
      <w:proofErr w:type="spellStart"/>
      <w:r w:rsidRPr="00C27AA6">
        <w:rPr>
          <w:sz w:val="22"/>
          <w:szCs w:val="22"/>
        </w:rPr>
        <w:t>terhindar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masalah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Kesulitan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hanya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fungsi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pendapatan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semata</w:t>
      </w:r>
      <w:proofErr w:type="spellEnd"/>
      <w:r w:rsidRPr="00C27AA6">
        <w:rPr>
          <w:sz w:val="22"/>
          <w:szCs w:val="22"/>
        </w:rPr>
        <w:t xml:space="preserve"> (</w:t>
      </w:r>
      <w:proofErr w:type="spellStart"/>
      <w:r w:rsidRPr="00C27AA6">
        <w:rPr>
          <w:sz w:val="22"/>
          <w:szCs w:val="22"/>
        </w:rPr>
        <w:t>rendahnya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pendapatan</w:t>
      </w:r>
      <w:proofErr w:type="spellEnd"/>
      <w:r w:rsidRPr="00C27AA6">
        <w:rPr>
          <w:sz w:val="22"/>
          <w:szCs w:val="22"/>
        </w:rPr>
        <w:t xml:space="preserve">), </w:t>
      </w:r>
      <w:proofErr w:type="spellStart"/>
      <w:r w:rsidRPr="00C27AA6">
        <w:rPr>
          <w:sz w:val="22"/>
          <w:szCs w:val="22"/>
        </w:rPr>
        <w:t>kesulitan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muncul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apabila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terjadi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kesalahan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(miss-management) </w:t>
      </w:r>
      <w:proofErr w:type="spellStart"/>
      <w:r w:rsidRPr="00C27AA6">
        <w:rPr>
          <w:sz w:val="22"/>
          <w:szCs w:val="22"/>
        </w:rPr>
        <w:t>yaitu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seperti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kesalahan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penggunaan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kredit</w:t>
      </w:r>
      <w:proofErr w:type="spellEnd"/>
      <w:r w:rsidRPr="00C27AA6">
        <w:rPr>
          <w:sz w:val="22"/>
          <w:szCs w:val="22"/>
        </w:rPr>
        <w:t xml:space="preserve">, dan tidak </w:t>
      </w:r>
      <w:proofErr w:type="spellStart"/>
      <w:r w:rsidRPr="00C27AA6">
        <w:rPr>
          <w:sz w:val="22"/>
          <w:szCs w:val="22"/>
        </w:rPr>
        <w:t>adanya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perencanaan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Dewi</w:t>
      </w:r>
      <w:proofErr w:type="spellEnd"/>
      <w:r w:rsidRPr="00C27AA6">
        <w:rPr>
          <w:sz w:val="22"/>
          <w:szCs w:val="22"/>
        </w:rPr>
        <w:t xml:space="preserve"> et al (2014). Masyarakat Indonesia </w:t>
      </w:r>
      <w:proofErr w:type="spellStart"/>
      <w:r w:rsidRPr="00C27AA6">
        <w:rPr>
          <w:sz w:val="22"/>
          <w:szCs w:val="22"/>
        </w:rPr>
        <w:t>tergolong</w:t>
      </w:r>
      <w:proofErr w:type="spellEnd"/>
      <w:r w:rsidRPr="00C27AA6">
        <w:rPr>
          <w:sz w:val="22"/>
          <w:szCs w:val="22"/>
        </w:rPr>
        <w:t xml:space="preserve"> pada </w:t>
      </w:r>
      <w:proofErr w:type="spellStart"/>
      <w:r w:rsidRPr="00C27AA6">
        <w:rPr>
          <w:sz w:val="22"/>
          <w:szCs w:val="22"/>
        </w:rPr>
        <w:t>kategori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rendah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Rendahnya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masyarakat</w:t>
      </w:r>
      <w:proofErr w:type="spellEnd"/>
      <w:r w:rsidRPr="00C27AA6">
        <w:rPr>
          <w:sz w:val="22"/>
          <w:szCs w:val="22"/>
        </w:rPr>
        <w:t xml:space="preserve"> Indonesia </w:t>
      </w:r>
      <w:proofErr w:type="spellStart"/>
      <w:r w:rsidRPr="00C27AA6">
        <w:rPr>
          <w:sz w:val="22"/>
          <w:szCs w:val="22"/>
        </w:rPr>
        <w:t>menunjukkan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masih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kurang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Tercatat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hanya</w:t>
      </w:r>
      <w:proofErr w:type="spellEnd"/>
      <w:r w:rsidRPr="00C27AA6">
        <w:rPr>
          <w:sz w:val="22"/>
          <w:szCs w:val="22"/>
        </w:rPr>
        <w:t xml:space="preserve"> 21,84% </w:t>
      </w:r>
      <w:proofErr w:type="spellStart"/>
      <w:r w:rsidRPr="00C27AA6">
        <w:rPr>
          <w:sz w:val="22"/>
          <w:szCs w:val="22"/>
        </w:rPr>
        <w:t>penduduk</w:t>
      </w:r>
      <w:proofErr w:type="spellEnd"/>
      <w:r w:rsidRPr="00C27AA6">
        <w:rPr>
          <w:sz w:val="22"/>
          <w:szCs w:val="22"/>
        </w:rPr>
        <w:t xml:space="preserve"> Indonesia yang </w:t>
      </w:r>
      <w:proofErr w:type="spellStart"/>
      <w:r w:rsidRPr="00C27AA6">
        <w:rPr>
          <w:sz w:val="22"/>
          <w:szCs w:val="22"/>
        </w:rPr>
        <w:t>tingkat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keterampilan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keyakinan</w:t>
      </w:r>
      <w:proofErr w:type="spellEnd"/>
      <w:r w:rsidRPr="00C27AA6">
        <w:rPr>
          <w:sz w:val="22"/>
          <w:szCs w:val="22"/>
        </w:rPr>
        <w:t xml:space="preserve"> pada </w:t>
      </w:r>
      <w:proofErr w:type="spellStart"/>
      <w:r w:rsidRPr="00C27AA6">
        <w:rPr>
          <w:sz w:val="22"/>
          <w:szCs w:val="22"/>
        </w:rPr>
        <w:t>lembaga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serta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produk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jasa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dikategorikan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cukup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baik</w:t>
      </w:r>
      <w:proofErr w:type="spellEnd"/>
      <w:r w:rsidRPr="00C27AA6">
        <w:rPr>
          <w:sz w:val="22"/>
          <w:szCs w:val="22"/>
        </w:rPr>
        <w:t xml:space="preserve">. Singapura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mencapai</w:t>
      </w:r>
      <w:proofErr w:type="spellEnd"/>
      <w:r w:rsidRPr="00C27AA6">
        <w:rPr>
          <w:sz w:val="22"/>
          <w:szCs w:val="22"/>
        </w:rPr>
        <w:t xml:space="preserve"> 96%, Malaysia 81% dan Thailand 78%, </w:t>
      </w:r>
      <w:proofErr w:type="spellStart"/>
      <w:r w:rsidRPr="00C27AA6">
        <w:rPr>
          <w:sz w:val="22"/>
          <w:szCs w:val="22"/>
        </w:rPr>
        <w:t>sehingga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perlu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ada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kebijakan</w:t>
      </w:r>
      <w:proofErr w:type="spellEnd"/>
      <w:r w:rsidRPr="00C27AA6">
        <w:rPr>
          <w:sz w:val="22"/>
          <w:szCs w:val="22"/>
        </w:rPr>
        <w:t xml:space="preserve"> dan program yang </w:t>
      </w:r>
      <w:proofErr w:type="spellStart"/>
      <w:r w:rsidRPr="00C27AA6">
        <w:rPr>
          <w:sz w:val="22"/>
          <w:szCs w:val="22"/>
        </w:rPr>
        <w:t>lebih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agresif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mendorong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masyarakat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lebih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akses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jasa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Berikut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perbandingan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Indonesia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Negara lain:</w:t>
      </w:r>
    </w:p>
    <w:p w14:paraId="501807C4" w14:textId="27C48290" w:rsidR="007B7094" w:rsidRDefault="007B7094" w:rsidP="000B384C">
      <w:pPr>
        <w:spacing w:line="276" w:lineRule="auto"/>
        <w:rPr>
          <w:sz w:val="22"/>
          <w:szCs w:val="22"/>
        </w:rPr>
      </w:pPr>
      <w:r w:rsidRPr="00C27AA6">
        <w:rPr>
          <w:noProof/>
        </w:rPr>
        <w:drawing>
          <wp:inline distT="0" distB="0" distL="0" distR="0" wp14:anchorId="1326B734" wp14:editId="243C5944">
            <wp:extent cx="2319020" cy="1341005"/>
            <wp:effectExtent l="0" t="0" r="508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 rotWithShape="1">
                    <a:blip r:embed="rId8"/>
                    <a:srcRect t="16589"/>
                    <a:stretch/>
                  </pic:blipFill>
                  <pic:spPr bwMode="auto">
                    <a:xfrm>
                      <a:off x="0" y="0"/>
                      <a:ext cx="2374298" cy="137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97AB" w14:textId="2F2C5E8D" w:rsidR="000B384C" w:rsidRPr="000B384C" w:rsidRDefault="000B384C" w:rsidP="000B384C">
      <w:pPr>
        <w:pStyle w:val="NormalWeb"/>
        <w:spacing w:line="276" w:lineRule="auto"/>
        <w:rPr>
          <w:b/>
          <w:i/>
          <w:sz w:val="20"/>
          <w:szCs w:val="20"/>
        </w:rPr>
      </w:pPr>
      <w:r w:rsidRPr="000B384C">
        <w:rPr>
          <w:b/>
          <w:i/>
          <w:sz w:val="20"/>
          <w:szCs w:val="20"/>
        </w:rPr>
        <w:t xml:space="preserve">Gambar 1. </w:t>
      </w:r>
      <w:proofErr w:type="spellStart"/>
      <w:r w:rsidRPr="000B384C">
        <w:rPr>
          <w:b/>
          <w:i/>
          <w:sz w:val="20"/>
          <w:szCs w:val="20"/>
        </w:rPr>
        <w:t>Perbandingan</w:t>
      </w:r>
      <w:proofErr w:type="spellEnd"/>
      <w:r w:rsidRPr="000B384C">
        <w:rPr>
          <w:b/>
          <w:i/>
          <w:sz w:val="20"/>
          <w:szCs w:val="20"/>
        </w:rPr>
        <w:t xml:space="preserve"> Tingkat </w:t>
      </w:r>
      <w:proofErr w:type="spellStart"/>
      <w:r w:rsidRPr="000B384C">
        <w:rPr>
          <w:b/>
          <w:i/>
          <w:sz w:val="20"/>
          <w:szCs w:val="20"/>
        </w:rPr>
        <w:t>Literasi</w:t>
      </w:r>
      <w:proofErr w:type="spellEnd"/>
      <w:r w:rsidRPr="000B384C">
        <w:rPr>
          <w:b/>
          <w:i/>
          <w:sz w:val="20"/>
          <w:szCs w:val="20"/>
        </w:rPr>
        <w:t xml:space="preserve"> Indonesia </w:t>
      </w:r>
      <w:proofErr w:type="spellStart"/>
      <w:r w:rsidRPr="000B384C">
        <w:rPr>
          <w:b/>
          <w:i/>
          <w:sz w:val="20"/>
          <w:szCs w:val="20"/>
        </w:rPr>
        <w:t>dengan</w:t>
      </w:r>
      <w:proofErr w:type="spellEnd"/>
      <w:r w:rsidRPr="000B384C">
        <w:rPr>
          <w:b/>
          <w:i/>
          <w:sz w:val="20"/>
          <w:szCs w:val="20"/>
        </w:rPr>
        <w:t xml:space="preserve"> Negara Lain</w:t>
      </w:r>
    </w:p>
    <w:p w14:paraId="31F154B4" w14:textId="77777777" w:rsidR="00132C0A" w:rsidRPr="00C27AA6" w:rsidRDefault="00132C0A" w:rsidP="000B384C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C27AA6">
        <w:rPr>
          <w:sz w:val="22"/>
          <w:szCs w:val="22"/>
        </w:rPr>
        <w:t>Definisi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finansial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menurut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Vitt</w:t>
      </w:r>
      <w:proofErr w:type="spellEnd"/>
      <w:r w:rsidRPr="00C27AA6">
        <w:rPr>
          <w:sz w:val="22"/>
          <w:szCs w:val="22"/>
        </w:rPr>
        <w:t xml:space="preserve"> </w:t>
      </w:r>
      <w:r w:rsidRPr="00C27AA6">
        <w:rPr>
          <w:i/>
          <w:iCs/>
          <w:sz w:val="22"/>
          <w:szCs w:val="22"/>
        </w:rPr>
        <w:t>et. al</w:t>
      </w:r>
      <w:r w:rsidRPr="00C27AA6">
        <w:rPr>
          <w:sz w:val="22"/>
          <w:szCs w:val="22"/>
        </w:rPr>
        <w:t xml:space="preserve">. (2010) Personal financial literacy is the ability to read, </w:t>
      </w:r>
      <w:proofErr w:type="spellStart"/>
      <w:r w:rsidRPr="00C27AA6">
        <w:rPr>
          <w:sz w:val="22"/>
          <w:szCs w:val="22"/>
        </w:rPr>
        <w:t>analyze</w:t>
      </w:r>
      <w:proofErr w:type="spellEnd"/>
      <w:r w:rsidRPr="00C27AA6">
        <w:rPr>
          <w:sz w:val="22"/>
          <w:szCs w:val="22"/>
        </w:rPr>
        <w:t xml:space="preserve">, </w:t>
      </w:r>
      <w:proofErr w:type="gramStart"/>
      <w:r w:rsidRPr="00C27AA6">
        <w:rPr>
          <w:sz w:val="22"/>
          <w:szCs w:val="22"/>
        </w:rPr>
        <w:t>manage</w:t>
      </w:r>
      <w:proofErr w:type="gramEnd"/>
      <w:r w:rsidRPr="00C27AA6">
        <w:rPr>
          <w:sz w:val="22"/>
          <w:szCs w:val="22"/>
        </w:rPr>
        <w:t xml:space="preserve"> and communicate about the personal financial condition that affect material well-being. It includes the ability to discern financial choices, discuss money and financial issues without (or despite) discomfort, </w:t>
      </w:r>
      <w:proofErr w:type="gramStart"/>
      <w:r w:rsidRPr="00C27AA6">
        <w:rPr>
          <w:sz w:val="22"/>
          <w:szCs w:val="22"/>
        </w:rPr>
        <w:t>plan for the future</w:t>
      </w:r>
      <w:proofErr w:type="gramEnd"/>
      <w:r w:rsidRPr="00C27AA6">
        <w:rPr>
          <w:sz w:val="22"/>
          <w:szCs w:val="22"/>
        </w:rPr>
        <w:t xml:space="preserve"> and respond competently to life events that affect </w:t>
      </w:r>
      <w:proofErr w:type="spellStart"/>
      <w:r w:rsidRPr="00C27AA6">
        <w:rPr>
          <w:sz w:val="22"/>
          <w:szCs w:val="22"/>
        </w:rPr>
        <w:t>everyday</w:t>
      </w:r>
      <w:proofErr w:type="spellEnd"/>
      <w:r w:rsidRPr="00C27AA6">
        <w:rPr>
          <w:sz w:val="22"/>
          <w:szCs w:val="22"/>
        </w:rPr>
        <w:t xml:space="preserve"> financial decisions, including events in the general economy. </w:t>
      </w:r>
    </w:p>
    <w:p w14:paraId="36ABF645" w14:textId="77777777" w:rsidR="00132C0A" w:rsidRPr="00C27AA6" w:rsidRDefault="00132C0A" w:rsidP="000B384C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r w:rsidRPr="00C27AA6">
        <w:rPr>
          <w:sz w:val="22"/>
          <w:szCs w:val="22"/>
        </w:rPr>
        <w:t xml:space="preserve">Atkinson dan Messy (2012)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OECD </w:t>
      </w:r>
      <w:proofErr w:type="spellStart"/>
      <w:r w:rsidRPr="00C27AA6">
        <w:rPr>
          <w:sz w:val="22"/>
          <w:szCs w:val="22"/>
        </w:rPr>
        <w:t>menyatakan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bahwa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Keuangan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kombinasi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Keuangan (financial knowledge),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Keuangan </w:t>
      </w:r>
      <w:proofErr w:type="gramStart"/>
      <w:r w:rsidRPr="00C27AA6">
        <w:rPr>
          <w:sz w:val="22"/>
          <w:szCs w:val="22"/>
        </w:rPr>
        <w:t>( financial</w:t>
      </w:r>
      <w:proofErr w:type="gramEnd"/>
      <w:r w:rsidRPr="00C27AA6">
        <w:rPr>
          <w:sz w:val="22"/>
          <w:szCs w:val="22"/>
        </w:rPr>
        <w:t xml:space="preserve"> attitude), dan </w:t>
      </w:r>
      <w:proofErr w:type="spellStart"/>
      <w:r w:rsidRPr="00C27AA6">
        <w:rPr>
          <w:sz w:val="22"/>
          <w:szCs w:val="22"/>
        </w:rPr>
        <w:t>prilaku</w:t>
      </w:r>
      <w:proofErr w:type="spellEnd"/>
      <w:r w:rsidRPr="00C27AA6">
        <w:rPr>
          <w:sz w:val="22"/>
          <w:szCs w:val="22"/>
        </w:rPr>
        <w:t xml:space="preserve"> Keuangan ( financial </w:t>
      </w:r>
      <w:proofErr w:type="spellStart"/>
      <w:r w:rsidRPr="00C27AA6">
        <w:rPr>
          <w:sz w:val="22"/>
          <w:szCs w:val="22"/>
        </w:rPr>
        <w:t>Behavior</w:t>
      </w:r>
      <w:proofErr w:type="spellEnd"/>
      <w:r w:rsidRPr="00C27AA6">
        <w:rPr>
          <w:sz w:val="22"/>
          <w:szCs w:val="22"/>
        </w:rPr>
        <w:t xml:space="preserve">).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Keuangan (financial knowledge) </w:t>
      </w:r>
      <w:proofErr w:type="spellStart"/>
      <w:r w:rsidRPr="00C27AA6">
        <w:rPr>
          <w:sz w:val="22"/>
          <w:szCs w:val="22"/>
        </w:rPr>
        <w:t>adlah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pemahaman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istilah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konsep</w:t>
      </w:r>
      <w:proofErr w:type="spellEnd"/>
      <w:r w:rsidRPr="00C27AA6">
        <w:rPr>
          <w:sz w:val="22"/>
          <w:szCs w:val="22"/>
        </w:rPr>
        <w:t xml:space="preserve"> Keuangan </w:t>
      </w:r>
      <w:proofErr w:type="spellStart"/>
      <w:r w:rsidRPr="00C27AA6">
        <w:rPr>
          <w:sz w:val="22"/>
          <w:szCs w:val="22"/>
        </w:rPr>
        <w:t>ynag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diperlukan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digunakan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sehari</w:t>
      </w:r>
      <w:proofErr w:type="spellEnd"/>
      <w:r w:rsidRPr="00C27AA6">
        <w:rPr>
          <w:sz w:val="22"/>
          <w:szCs w:val="22"/>
        </w:rPr>
        <w:t xml:space="preserve"> – </w:t>
      </w:r>
      <w:proofErr w:type="spellStart"/>
      <w:r w:rsidRPr="00C27AA6">
        <w:rPr>
          <w:sz w:val="22"/>
          <w:szCs w:val="22"/>
        </w:rPr>
        <w:t>hari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kehidupan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bermasyarakat</w:t>
      </w:r>
      <w:proofErr w:type="spellEnd"/>
      <w:r w:rsidRPr="00C27AA6">
        <w:rPr>
          <w:sz w:val="22"/>
          <w:szCs w:val="22"/>
        </w:rPr>
        <w:t xml:space="preserve"> (Bowen, 2003).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Keuangan </w:t>
      </w:r>
      <w:proofErr w:type="spellStart"/>
      <w:r w:rsidRPr="00C27AA6">
        <w:rPr>
          <w:sz w:val="22"/>
          <w:szCs w:val="22"/>
        </w:rPr>
        <w:t>adalah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aplikasi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prinsip</w:t>
      </w:r>
      <w:proofErr w:type="spellEnd"/>
      <w:r w:rsidRPr="00C27AA6">
        <w:rPr>
          <w:sz w:val="22"/>
          <w:szCs w:val="22"/>
        </w:rPr>
        <w:t xml:space="preserve"> – </w:t>
      </w:r>
      <w:proofErr w:type="spellStart"/>
      <w:r w:rsidRPr="00C27AA6">
        <w:rPr>
          <w:sz w:val="22"/>
          <w:szCs w:val="22"/>
        </w:rPr>
        <w:t>prinsip</w:t>
      </w:r>
      <w:proofErr w:type="spellEnd"/>
      <w:r w:rsidRPr="00C27AA6">
        <w:rPr>
          <w:sz w:val="22"/>
          <w:szCs w:val="22"/>
        </w:rPr>
        <w:t xml:space="preserve"> Keuangan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menciptakan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memelihara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nilai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melalui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pembuatan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keputusan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sumber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sebaik</w:t>
      </w:r>
      <w:proofErr w:type="spellEnd"/>
      <w:r w:rsidRPr="00C27AA6">
        <w:rPr>
          <w:sz w:val="22"/>
          <w:szCs w:val="22"/>
        </w:rPr>
        <w:t xml:space="preserve"> – </w:t>
      </w:r>
      <w:proofErr w:type="spellStart"/>
      <w:r w:rsidRPr="00C27AA6">
        <w:rPr>
          <w:sz w:val="22"/>
          <w:szCs w:val="22"/>
        </w:rPr>
        <w:t>baiknya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Rajna</w:t>
      </w:r>
      <w:proofErr w:type="spellEnd"/>
      <w:r w:rsidRPr="00C27AA6">
        <w:rPr>
          <w:sz w:val="22"/>
          <w:szCs w:val="22"/>
        </w:rPr>
        <w:t xml:space="preserve"> (2011). </w:t>
      </w:r>
      <w:proofErr w:type="spellStart"/>
      <w:r w:rsidRPr="00C27AA6">
        <w:rPr>
          <w:sz w:val="22"/>
          <w:szCs w:val="22"/>
        </w:rPr>
        <w:t>Prilaku</w:t>
      </w:r>
      <w:proofErr w:type="spellEnd"/>
      <w:r w:rsidRPr="00C27AA6">
        <w:rPr>
          <w:sz w:val="22"/>
          <w:szCs w:val="22"/>
        </w:rPr>
        <w:t xml:space="preserve"> Keuangan (financial </w:t>
      </w:r>
      <w:proofErr w:type="spellStart"/>
      <w:r w:rsidRPr="00C27AA6">
        <w:rPr>
          <w:sz w:val="22"/>
          <w:szCs w:val="22"/>
        </w:rPr>
        <w:t>Behavior</w:t>
      </w:r>
      <w:proofErr w:type="spellEnd"/>
      <w:r w:rsidRPr="00C27AA6">
        <w:rPr>
          <w:sz w:val="22"/>
          <w:szCs w:val="22"/>
        </w:rPr>
        <w:t xml:space="preserve">) </w:t>
      </w:r>
      <w:proofErr w:type="spellStart"/>
      <w:r w:rsidRPr="00C27AA6">
        <w:rPr>
          <w:sz w:val="22"/>
          <w:szCs w:val="22"/>
        </w:rPr>
        <w:t>didefinisikan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manusia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hubungannya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uang Xiao (2009).</w:t>
      </w:r>
    </w:p>
    <w:p w14:paraId="756D6112" w14:textId="3A394C96" w:rsidR="004B7080" w:rsidRPr="000B384C" w:rsidRDefault="00132C0A" w:rsidP="000B384C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C27AA6">
        <w:rPr>
          <w:sz w:val="22"/>
          <w:szCs w:val="22"/>
        </w:rPr>
        <w:t>Penelitian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ini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dilakukan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tujuan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mengkaji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baik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simultan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maupun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parsial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pengaruh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variabel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Demografi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Keuangan terhadap Praktik Manajemen Keuangan Personal.</w:t>
      </w:r>
    </w:p>
    <w:p w14:paraId="2ACABBE3" w14:textId="0031DD3C" w:rsidR="004B7080" w:rsidRPr="00C27AA6" w:rsidRDefault="004B7080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C27AA6">
        <w:rPr>
          <w:b/>
          <w:sz w:val="22"/>
          <w:szCs w:val="22"/>
        </w:rPr>
        <w:t>TELAAH LITERATUR DAN HIPOTESIS</w:t>
      </w:r>
    </w:p>
    <w:p w14:paraId="56F75A22" w14:textId="77777777" w:rsidR="004B7080" w:rsidRPr="00C27AA6" w:rsidRDefault="004B7080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proofErr w:type="spellStart"/>
      <w:r w:rsidRPr="00C27AA6">
        <w:rPr>
          <w:b/>
          <w:sz w:val="22"/>
          <w:szCs w:val="22"/>
        </w:rPr>
        <w:t>Teori</w:t>
      </w:r>
      <w:proofErr w:type="spellEnd"/>
      <w:r w:rsidRPr="00C27AA6">
        <w:rPr>
          <w:b/>
          <w:sz w:val="22"/>
          <w:szCs w:val="22"/>
        </w:rPr>
        <w:t xml:space="preserve"> Gender</w:t>
      </w:r>
    </w:p>
    <w:p w14:paraId="50ACC772" w14:textId="4674D5AA" w:rsidR="004B7080" w:rsidRPr="00C27AA6" w:rsidRDefault="004B7080" w:rsidP="00C27AA6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terminologi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menurut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Elfi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Muawanah</w:t>
      </w:r>
      <w:proofErr w:type="spellEnd"/>
      <w:r w:rsidRPr="00C27AA6">
        <w:rPr>
          <w:sz w:val="22"/>
          <w:szCs w:val="22"/>
        </w:rPr>
        <w:t xml:space="preserve"> (2009) gender </w:t>
      </w:r>
      <w:proofErr w:type="spellStart"/>
      <w:r w:rsidRPr="00C27AA6">
        <w:rPr>
          <w:sz w:val="22"/>
          <w:szCs w:val="22"/>
        </w:rPr>
        <w:t>diartikan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konsep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berkaitan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laki-laki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perempuan</w:t>
      </w:r>
      <w:proofErr w:type="spellEnd"/>
      <w:r w:rsidRPr="00C27AA6">
        <w:rPr>
          <w:sz w:val="22"/>
          <w:szCs w:val="22"/>
        </w:rPr>
        <w:t xml:space="preserve"> di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waktu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budaya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tertentu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dikonstruksi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sosial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biologis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Sejalan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definisi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tersebut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konsep</w:t>
      </w:r>
      <w:proofErr w:type="spellEnd"/>
      <w:r w:rsidRPr="00C27AA6">
        <w:rPr>
          <w:sz w:val="22"/>
          <w:szCs w:val="22"/>
        </w:rPr>
        <w:t xml:space="preserve"> gender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sifat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melekat</w:t>
      </w:r>
      <w:proofErr w:type="spellEnd"/>
      <w:r w:rsidRPr="00C27AA6">
        <w:rPr>
          <w:sz w:val="22"/>
          <w:szCs w:val="22"/>
        </w:rPr>
        <w:t xml:space="preserve"> pada </w:t>
      </w:r>
      <w:proofErr w:type="spellStart"/>
      <w:r w:rsidRPr="00C27AA6">
        <w:rPr>
          <w:sz w:val="22"/>
          <w:szCs w:val="22"/>
        </w:rPr>
        <w:t>kaum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laki-laki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maupun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perempuan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dikonstruksi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sosial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maupun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kultural</w:t>
      </w:r>
      <w:proofErr w:type="spellEnd"/>
      <w:r w:rsidRPr="00C27AA6">
        <w:rPr>
          <w:sz w:val="22"/>
          <w:szCs w:val="22"/>
        </w:rPr>
        <w:t xml:space="preserve"> Mansour Fakih (2006). </w:t>
      </w:r>
      <w:proofErr w:type="spellStart"/>
      <w:r w:rsidRPr="00C27AA6">
        <w:rPr>
          <w:sz w:val="22"/>
          <w:szCs w:val="22"/>
        </w:rPr>
        <w:t>Selanjutnya</w:t>
      </w:r>
      <w:proofErr w:type="spellEnd"/>
      <w:r w:rsidRPr="00C27AA6">
        <w:rPr>
          <w:sz w:val="22"/>
          <w:szCs w:val="22"/>
        </w:rPr>
        <w:t xml:space="preserve"> gender </w:t>
      </w:r>
      <w:proofErr w:type="spellStart"/>
      <w:r w:rsidRPr="00C27AA6">
        <w:rPr>
          <w:sz w:val="22"/>
          <w:szCs w:val="22"/>
        </w:rPr>
        <w:t>diartikan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seperangkat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peran</w:t>
      </w:r>
      <w:proofErr w:type="spellEnd"/>
      <w:r w:rsidRPr="00C27AA6">
        <w:rPr>
          <w:sz w:val="22"/>
          <w:szCs w:val="22"/>
        </w:rPr>
        <w:t xml:space="preserve"> (yang </w:t>
      </w:r>
      <w:proofErr w:type="spellStart"/>
      <w:r w:rsidRPr="00C27AA6">
        <w:rPr>
          <w:sz w:val="22"/>
          <w:szCs w:val="22"/>
        </w:rPr>
        <w:t>mencakup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penampilan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pakaian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kepribadian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bekerja</w:t>
      </w:r>
      <w:proofErr w:type="spellEnd"/>
      <w:r w:rsidRPr="00C27AA6">
        <w:rPr>
          <w:sz w:val="22"/>
          <w:szCs w:val="22"/>
        </w:rPr>
        <w:t xml:space="preserve"> di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dan di </w:t>
      </w:r>
      <w:proofErr w:type="spellStart"/>
      <w:r w:rsidRPr="00C27AA6">
        <w:rPr>
          <w:sz w:val="22"/>
          <w:szCs w:val="22"/>
        </w:rPr>
        <w:t>luar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rumah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tangga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seksualitas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tanggung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jawab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keluarga</w:t>
      </w:r>
      <w:proofErr w:type="spellEnd"/>
      <w:r w:rsidRPr="00C27AA6">
        <w:rPr>
          <w:sz w:val="22"/>
          <w:szCs w:val="22"/>
        </w:rPr>
        <w:t xml:space="preserve">) yang </w:t>
      </w:r>
      <w:proofErr w:type="spellStart"/>
      <w:r w:rsidRPr="00C27AA6">
        <w:rPr>
          <w:sz w:val="22"/>
          <w:szCs w:val="22"/>
        </w:rPr>
        <w:t>menyampaikan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kepada</w:t>
      </w:r>
      <w:proofErr w:type="spellEnd"/>
      <w:r w:rsidRPr="00C27AA6">
        <w:rPr>
          <w:sz w:val="22"/>
          <w:szCs w:val="22"/>
        </w:rPr>
        <w:t xml:space="preserve"> orang lain </w:t>
      </w:r>
      <w:proofErr w:type="spellStart"/>
      <w:r w:rsidRPr="00C27AA6">
        <w:rPr>
          <w:sz w:val="22"/>
          <w:szCs w:val="22"/>
        </w:rPr>
        <w:t>bahwa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seseorang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adalah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feminis</w:t>
      </w:r>
      <w:proofErr w:type="spellEnd"/>
      <w:r w:rsidRPr="00C27AA6">
        <w:rPr>
          <w:sz w:val="22"/>
          <w:szCs w:val="22"/>
        </w:rPr>
        <w:t xml:space="preserve"> atau </w:t>
      </w:r>
      <w:proofErr w:type="spellStart"/>
      <w:r w:rsidRPr="00C27AA6">
        <w:rPr>
          <w:sz w:val="22"/>
          <w:szCs w:val="22"/>
        </w:rPr>
        <w:t>maskulin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Mosse</w:t>
      </w:r>
      <w:proofErr w:type="spellEnd"/>
      <w:r w:rsidR="00C74D6D" w:rsidRPr="00C27AA6">
        <w:rPr>
          <w:sz w:val="22"/>
          <w:szCs w:val="22"/>
        </w:rPr>
        <w:t xml:space="preserve"> </w:t>
      </w:r>
      <w:r w:rsidRPr="00C27AA6">
        <w:rPr>
          <w:sz w:val="22"/>
          <w:szCs w:val="22"/>
        </w:rPr>
        <w:t xml:space="preserve">(2007). </w:t>
      </w:r>
    </w:p>
    <w:p w14:paraId="0B35C0E3" w14:textId="7EFCE484" w:rsidR="00C74D6D" w:rsidRPr="00C27AA6" w:rsidRDefault="00190C2A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proofErr w:type="spellStart"/>
      <w:r w:rsidRPr="00C27AA6">
        <w:rPr>
          <w:b/>
          <w:sz w:val="22"/>
          <w:szCs w:val="22"/>
        </w:rPr>
        <w:t>Teori</w:t>
      </w:r>
      <w:proofErr w:type="spellEnd"/>
      <w:r w:rsidRPr="00C27AA6">
        <w:rPr>
          <w:b/>
          <w:sz w:val="22"/>
          <w:szCs w:val="22"/>
        </w:rPr>
        <w:t xml:space="preserve"> </w:t>
      </w:r>
      <w:r w:rsidR="00C74D6D" w:rsidRPr="00C27AA6">
        <w:rPr>
          <w:b/>
          <w:sz w:val="22"/>
          <w:szCs w:val="22"/>
        </w:rPr>
        <w:t xml:space="preserve">Tingkat Pendidikan </w:t>
      </w:r>
    </w:p>
    <w:p w14:paraId="7C80A423" w14:textId="05F05F91" w:rsidR="00C74D6D" w:rsidRPr="00C27AA6" w:rsidRDefault="00C74D6D" w:rsidP="00C27AA6">
      <w:pPr>
        <w:pStyle w:val="NormalWeb"/>
        <w:spacing w:line="276" w:lineRule="auto"/>
        <w:jc w:val="both"/>
        <w:rPr>
          <w:sz w:val="22"/>
          <w:szCs w:val="22"/>
        </w:rPr>
      </w:pPr>
      <w:r w:rsidRPr="00C27AA6">
        <w:rPr>
          <w:b/>
          <w:sz w:val="22"/>
          <w:szCs w:val="22"/>
        </w:rPr>
        <w:tab/>
      </w:r>
      <w:r w:rsidRPr="00C27AA6">
        <w:rPr>
          <w:sz w:val="22"/>
          <w:szCs w:val="22"/>
        </w:rPr>
        <w:t xml:space="preserve">Tingkat Pendidikan </w:t>
      </w:r>
      <w:proofErr w:type="spellStart"/>
      <w:r w:rsidRPr="00C27AA6">
        <w:rPr>
          <w:sz w:val="22"/>
          <w:szCs w:val="22"/>
        </w:rPr>
        <w:t>adalah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jenjang</w:t>
      </w:r>
      <w:proofErr w:type="spellEnd"/>
      <w:r w:rsidRPr="00C27AA6">
        <w:rPr>
          <w:sz w:val="22"/>
          <w:szCs w:val="22"/>
        </w:rPr>
        <w:t xml:space="preserve"> Pendidikan formal yang </w:t>
      </w:r>
      <w:proofErr w:type="spellStart"/>
      <w:r w:rsidRPr="00C27AA6">
        <w:rPr>
          <w:sz w:val="22"/>
          <w:szCs w:val="22"/>
        </w:rPr>
        <w:t>telah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ditempuh</w:t>
      </w:r>
      <w:proofErr w:type="spellEnd"/>
      <w:r w:rsidRPr="00C27AA6">
        <w:rPr>
          <w:sz w:val="22"/>
          <w:szCs w:val="22"/>
        </w:rPr>
        <w:t xml:space="preserve"> oleh </w:t>
      </w:r>
      <w:proofErr w:type="spellStart"/>
      <w:r w:rsidRPr="00C27AA6">
        <w:rPr>
          <w:sz w:val="22"/>
          <w:szCs w:val="22"/>
        </w:rPr>
        <w:t>seseorang</w:t>
      </w:r>
      <w:proofErr w:type="spellEnd"/>
      <w:r w:rsidRPr="00C27AA6">
        <w:rPr>
          <w:sz w:val="22"/>
          <w:szCs w:val="22"/>
        </w:rPr>
        <w:t xml:space="preserve">. Tingkat Pendidikan di Indonesia </w:t>
      </w:r>
      <w:proofErr w:type="spellStart"/>
      <w:r w:rsidRPr="00C27AA6">
        <w:rPr>
          <w:sz w:val="22"/>
          <w:szCs w:val="22"/>
        </w:rPr>
        <w:t>memiliki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jenjang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mulai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SD </w:t>
      </w:r>
      <w:proofErr w:type="spellStart"/>
      <w:r w:rsidRPr="00C27AA6">
        <w:rPr>
          <w:sz w:val="22"/>
          <w:szCs w:val="22"/>
        </w:rPr>
        <w:t>samoai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perguruan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tinggi</w:t>
      </w:r>
      <w:proofErr w:type="spellEnd"/>
      <w:r w:rsidRPr="00C27AA6">
        <w:rPr>
          <w:sz w:val="22"/>
          <w:szCs w:val="22"/>
        </w:rPr>
        <w:t xml:space="preserve">. Tingkat Pendidikan </w:t>
      </w:r>
      <w:proofErr w:type="spellStart"/>
      <w:r w:rsidRPr="00C27AA6">
        <w:rPr>
          <w:sz w:val="22"/>
          <w:szCs w:val="22"/>
        </w:rPr>
        <w:t>seseorang</w:t>
      </w:r>
      <w:proofErr w:type="spellEnd"/>
      <w:r w:rsidRPr="00C27AA6">
        <w:rPr>
          <w:sz w:val="22"/>
          <w:szCs w:val="22"/>
        </w:rPr>
        <w:t xml:space="preserve"> atau </w:t>
      </w:r>
      <w:proofErr w:type="spellStart"/>
      <w:r w:rsidRPr="00C27AA6">
        <w:rPr>
          <w:sz w:val="22"/>
          <w:szCs w:val="22"/>
        </w:rPr>
        <w:t>masyarakat</w:t>
      </w:r>
      <w:proofErr w:type="spellEnd"/>
      <w:r w:rsidRPr="00C27AA6">
        <w:rPr>
          <w:sz w:val="22"/>
          <w:szCs w:val="22"/>
        </w:rPr>
        <w:t xml:space="preserve"> berpengaruh terhadap </w:t>
      </w:r>
      <w:proofErr w:type="spellStart"/>
      <w:r w:rsidRPr="00C27AA6">
        <w:rPr>
          <w:sz w:val="22"/>
          <w:szCs w:val="22"/>
        </w:rPr>
        <w:t>perubahan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prilaku</w:t>
      </w:r>
      <w:proofErr w:type="spellEnd"/>
      <w:r w:rsidRPr="00C27AA6">
        <w:rPr>
          <w:sz w:val="22"/>
          <w:szCs w:val="22"/>
        </w:rPr>
        <w:t xml:space="preserve">. Tingkat Pendidikan yang </w:t>
      </w:r>
      <w:proofErr w:type="spellStart"/>
      <w:r w:rsidRPr="00C27AA6">
        <w:rPr>
          <w:sz w:val="22"/>
          <w:szCs w:val="22"/>
        </w:rPr>
        <w:t>lebih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tinggi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memudahkan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seseorang</w:t>
      </w:r>
      <w:proofErr w:type="spellEnd"/>
      <w:r w:rsidRPr="00C27AA6">
        <w:rPr>
          <w:sz w:val="22"/>
          <w:szCs w:val="22"/>
        </w:rPr>
        <w:t xml:space="preserve"> atau </w:t>
      </w:r>
      <w:proofErr w:type="spellStart"/>
      <w:r w:rsidRPr="00C27AA6">
        <w:rPr>
          <w:sz w:val="22"/>
          <w:szCs w:val="22"/>
        </w:rPr>
        <w:t>masyarkat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menyerap</w:t>
      </w:r>
      <w:proofErr w:type="spellEnd"/>
      <w:r w:rsidRPr="00C27AA6">
        <w:rPr>
          <w:sz w:val="22"/>
          <w:szCs w:val="22"/>
        </w:rPr>
        <w:t xml:space="preserve"> informasi dan </w:t>
      </w:r>
      <w:proofErr w:type="spellStart"/>
      <w:r w:rsidRPr="00C27AA6">
        <w:rPr>
          <w:sz w:val="22"/>
          <w:szCs w:val="22"/>
        </w:rPr>
        <w:t>mengimplemenrasikannya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prilaku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gaya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hidup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sehari</w:t>
      </w:r>
      <w:proofErr w:type="spellEnd"/>
      <w:r w:rsidRPr="00C27AA6">
        <w:rPr>
          <w:sz w:val="22"/>
          <w:szCs w:val="22"/>
        </w:rPr>
        <w:t xml:space="preserve"> – </w:t>
      </w:r>
      <w:proofErr w:type="spellStart"/>
      <w:r w:rsidRPr="00C27AA6">
        <w:rPr>
          <w:sz w:val="22"/>
          <w:szCs w:val="22"/>
        </w:rPr>
        <w:t>hari</w:t>
      </w:r>
      <w:proofErr w:type="spellEnd"/>
      <w:r w:rsidRPr="00C27AA6">
        <w:rPr>
          <w:sz w:val="22"/>
          <w:szCs w:val="22"/>
        </w:rPr>
        <w:t>.</w:t>
      </w:r>
    </w:p>
    <w:p w14:paraId="718EFFFC" w14:textId="43B7BCDC" w:rsidR="00C74D6D" w:rsidRPr="00C27AA6" w:rsidRDefault="00190C2A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proofErr w:type="spellStart"/>
      <w:r w:rsidRPr="00C27AA6">
        <w:rPr>
          <w:b/>
          <w:sz w:val="22"/>
          <w:szCs w:val="22"/>
        </w:rPr>
        <w:t>Teori</w:t>
      </w:r>
      <w:proofErr w:type="spellEnd"/>
      <w:r w:rsidRPr="00C27AA6">
        <w:rPr>
          <w:b/>
          <w:sz w:val="22"/>
          <w:szCs w:val="22"/>
        </w:rPr>
        <w:t xml:space="preserve"> </w:t>
      </w:r>
      <w:r w:rsidR="00C74D6D" w:rsidRPr="00C27AA6">
        <w:rPr>
          <w:b/>
          <w:sz w:val="22"/>
          <w:szCs w:val="22"/>
        </w:rPr>
        <w:t xml:space="preserve">Usia </w:t>
      </w:r>
    </w:p>
    <w:p w14:paraId="2B8D6B40" w14:textId="40EF5BF0" w:rsidR="00C74D6D" w:rsidRPr="00C27AA6" w:rsidRDefault="00C74D6D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Kamus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Bahasa Indonesia (KBBI), kata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halnya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umur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arti lama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dilahirkan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diadakan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).</w:t>
      </w:r>
      <w:r w:rsidRPr="00C27AA6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C27AA6">
        <w:rPr>
          <w:rFonts w:ascii="Times New Roman" w:hAnsi="Times New Roman" w:cs="Times New Roman"/>
          <w:sz w:val="22"/>
          <w:szCs w:val="22"/>
        </w:rPr>
        <w:t xml:space="preserve">Jadi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jenjang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tahapan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sudah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dilalui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hitung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lahirnya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sampai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berapa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Usia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kaitannya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perkembangan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Usia juga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kurun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diukur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dipandang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kronologis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normal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dilihat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derajat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perkembangan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anatomis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fisiologis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Nuswantari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(1998). Usia juga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lamanya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dilahirkan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diadakan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Hoetomo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(2005). </w:t>
      </w:r>
    </w:p>
    <w:p w14:paraId="39A6E6D9" w14:textId="77777777" w:rsidR="00C74D6D" w:rsidRPr="00C27AA6" w:rsidRDefault="00C74D6D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67F52444" w14:textId="7FA13BF5" w:rsidR="00C74D6D" w:rsidRPr="00C27AA6" w:rsidRDefault="00190C2A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Teori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4D6D" w:rsidRPr="00C27AA6">
        <w:rPr>
          <w:rFonts w:ascii="Times New Roman" w:hAnsi="Times New Roman" w:cs="Times New Roman"/>
          <w:b/>
          <w:sz w:val="22"/>
          <w:szCs w:val="22"/>
        </w:rPr>
        <w:t xml:space="preserve">Jumlah </w:t>
      </w:r>
      <w:proofErr w:type="spellStart"/>
      <w:r w:rsidR="00C74D6D" w:rsidRPr="00C27AA6">
        <w:rPr>
          <w:rFonts w:ascii="Times New Roman" w:hAnsi="Times New Roman" w:cs="Times New Roman"/>
          <w:b/>
          <w:sz w:val="22"/>
          <w:szCs w:val="22"/>
        </w:rPr>
        <w:t>tanggungan</w:t>
      </w:r>
      <w:proofErr w:type="spellEnd"/>
      <w:r w:rsidR="00C74D6D"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DF2194" w14:textId="433BE9E3" w:rsidR="007A1B2D" w:rsidRPr="00C27AA6" w:rsidRDefault="007A1B2D" w:rsidP="000B384C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Jumlah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anggota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,  yang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dicakup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orang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bersama-sama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demikian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apabila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suatu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saudara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kandung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saudara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kandung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kondisi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belum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bekerja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/ tidak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bekerja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dimasukkan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Ahmadi (2007)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banyaknya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jiwa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anggota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masih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menempati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menghuni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kepala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masih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beban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memenuhi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kebutuhan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sehari-hari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520F93E6" w14:textId="77777777" w:rsidR="007A1B2D" w:rsidRPr="00C27AA6" w:rsidRDefault="007A1B2D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6DF0FC14" w14:textId="3574F5FC" w:rsidR="007A1B2D" w:rsidRPr="00C27AA6" w:rsidRDefault="00190C2A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Teori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1B2D" w:rsidRPr="00C27AA6">
        <w:rPr>
          <w:rFonts w:ascii="Times New Roman" w:hAnsi="Times New Roman" w:cs="Times New Roman"/>
          <w:b/>
          <w:sz w:val="22"/>
          <w:szCs w:val="22"/>
        </w:rPr>
        <w:t>Golongan Gaji</w:t>
      </w:r>
    </w:p>
    <w:p w14:paraId="61F31EAB" w14:textId="77777777" w:rsidR="007A1B2D" w:rsidRPr="00C27AA6" w:rsidRDefault="007A1B2D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Mahmudi (2005), Gaji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komponen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r w:rsidRPr="00C27AA6">
        <w:rPr>
          <w:rFonts w:ascii="Times New Roman" w:hAnsi="Times New Roman" w:cs="Times New Roman"/>
          <w:i/>
          <w:iCs/>
          <w:sz w:val="22"/>
          <w:szCs w:val="22"/>
        </w:rPr>
        <w:t xml:space="preserve">reward </w:t>
      </w:r>
      <w:r w:rsidRPr="00C27AA6">
        <w:rPr>
          <w:rFonts w:ascii="Times New Roman" w:hAnsi="Times New Roman" w:cs="Times New Roman"/>
          <w:sz w:val="22"/>
          <w:szCs w:val="22"/>
        </w:rPr>
        <w:t xml:space="preserve">yang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salah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jenis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pekerjaan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banyak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diinginkan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masyarakat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Indonesia. Ada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beberapa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pola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pikir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 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pertama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tetap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tergolong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cukup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menghidupi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kedua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yakni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PNS yang mana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bisa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diisi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berbagai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kalangan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mulai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lulusan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SD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sarjana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2279110F" w14:textId="77777777" w:rsidR="00190C2A" w:rsidRPr="00C27AA6" w:rsidRDefault="007A1B2D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PNS guru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dijamin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pemerintah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sendiri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Depag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Departemen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Agama/Kementerian Agama) dan juga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>PNS  DPK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(PNS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dinas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dipekerjakan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sekolah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swasta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). 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Keuntungan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PNS guru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pertama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pokok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Gaji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pokok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sendiri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diatur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jelas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Peraturan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Pemerintah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(PP) No 15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2019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Perubahan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Kedelapan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Belas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Peraturan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Nomor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7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1997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Peraturan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Gaji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 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pun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berjenjang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sesuai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lamanya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masa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dikenal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juga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masa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(MKG).</w:t>
      </w:r>
    </w:p>
    <w:p w14:paraId="2059DA60" w14:textId="77777777" w:rsidR="00190C2A" w:rsidRPr="00C27AA6" w:rsidRDefault="00190C2A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7AA6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CAD2BB3" w14:textId="22FD008F" w:rsidR="00190C2A" w:rsidRPr="00C27AA6" w:rsidRDefault="00190C2A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Teori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Keuangan (Financial Knowledge)</w:t>
      </w:r>
    </w:p>
    <w:p w14:paraId="5F0B2F36" w14:textId="79C1ED27" w:rsidR="00190C2A" w:rsidRPr="00C27AA6" w:rsidRDefault="00190C2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didefinisikan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pemahaman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istilah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konsep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diperlukan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digunakan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sehari-hari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kehidupan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bermasyarakat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Bowen (2003).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Pemahaman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inflasi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(inflation),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pengembalian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(rate of return),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pengembalian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majemuk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(compounding rate of return),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sarana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investasi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(investment vehicles),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resiko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(risks management)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beberapa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contoh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(Rajna,2011).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riset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(financial knowledge).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studi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pertama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menjawab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pertanyaan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pertanyaan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berkaitan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umum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(Markovich &amp; DeVaney (1997), Chen &amp; Volpe (1998),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Avard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, Manton, English, &amp; Walker (2005), Jones (2005)).</w:t>
      </w:r>
    </w:p>
    <w:p w14:paraId="1FB3DD84" w14:textId="77777777" w:rsidR="001952E7" w:rsidRPr="00C27AA6" w:rsidRDefault="001952E7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6B61C440" w14:textId="5245DD9B" w:rsidR="001952E7" w:rsidRPr="00C27AA6" w:rsidRDefault="001952E7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Teori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Perilaku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Keuangan (Financial Behavior)</w:t>
      </w:r>
    </w:p>
    <w:p w14:paraId="55D345E1" w14:textId="77777777" w:rsidR="001952E7" w:rsidRPr="00C27AA6" w:rsidRDefault="001952E7" w:rsidP="00C27AA6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(</w:t>
      </w:r>
      <w:proofErr w:type="spellStart"/>
      <w:r w:rsidRPr="00C27AA6">
        <w:rPr>
          <w:sz w:val="22"/>
          <w:szCs w:val="22"/>
        </w:rPr>
        <w:t>behavior</w:t>
      </w:r>
      <w:proofErr w:type="spellEnd"/>
      <w:r w:rsidRPr="00C27AA6">
        <w:rPr>
          <w:sz w:val="22"/>
          <w:szCs w:val="22"/>
        </w:rPr>
        <w:t xml:space="preserve">)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elemen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yang sangat </w:t>
      </w:r>
      <w:proofErr w:type="spellStart"/>
      <w:r w:rsidRPr="00C27AA6">
        <w:rPr>
          <w:sz w:val="22"/>
          <w:szCs w:val="22"/>
        </w:rPr>
        <w:t>esensial</w:t>
      </w:r>
      <w:proofErr w:type="spellEnd"/>
      <w:r w:rsidRPr="00C27AA6">
        <w:rPr>
          <w:sz w:val="22"/>
          <w:szCs w:val="22"/>
        </w:rPr>
        <w:t xml:space="preserve"> dan paling </w:t>
      </w:r>
      <w:proofErr w:type="spellStart"/>
      <w:r w:rsidRPr="00C27AA6">
        <w:rPr>
          <w:sz w:val="22"/>
          <w:szCs w:val="22"/>
        </w:rPr>
        <w:t>penting</w:t>
      </w:r>
      <w:proofErr w:type="spellEnd"/>
      <w:r w:rsidRPr="00C27AA6">
        <w:rPr>
          <w:sz w:val="22"/>
          <w:szCs w:val="22"/>
        </w:rPr>
        <w:t xml:space="preserve">. Hasil </w:t>
      </w:r>
      <w:proofErr w:type="spellStart"/>
      <w:r w:rsidRPr="00C27AA6">
        <w:rPr>
          <w:sz w:val="22"/>
          <w:szCs w:val="22"/>
        </w:rPr>
        <w:t>positif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didorong</w:t>
      </w:r>
      <w:proofErr w:type="spellEnd"/>
      <w:r w:rsidRPr="00C27AA6">
        <w:rPr>
          <w:sz w:val="22"/>
          <w:szCs w:val="22"/>
        </w:rPr>
        <w:t xml:space="preserve"> oleh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seperti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adanya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perencanaan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pengeluaran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upaya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pembentukan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kesejahteraan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, dan </w:t>
      </w:r>
      <w:proofErr w:type="spellStart"/>
      <w:r w:rsidRPr="00C27AA6">
        <w:rPr>
          <w:sz w:val="22"/>
          <w:szCs w:val="22"/>
        </w:rPr>
        <w:t>sebaliknya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penggunaan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kredit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berlebihan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mengurangi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kesejahteraan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(Financial </w:t>
      </w:r>
      <w:proofErr w:type="spellStart"/>
      <w:r w:rsidRPr="00C27AA6">
        <w:rPr>
          <w:sz w:val="22"/>
          <w:szCs w:val="22"/>
        </w:rPr>
        <w:t>behavior</w:t>
      </w:r>
      <w:proofErr w:type="spellEnd"/>
      <w:r w:rsidRPr="00C27AA6">
        <w:rPr>
          <w:sz w:val="22"/>
          <w:szCs w:val="22"/>
        </w:rPr>
        <w:t xml:space="preserve">) </w:t>
      </w:r>
      <w:proofErr w:type="spellStart"/>
      <w:r w:rsidRPr="00C27AA6">
        <w:rPr>
          <w:sz w:val="22"/>
          <w:szCs w:val="22"/>
        </w:rPr>
        <w:t>didefinisikan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manusia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berhubungan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uang Xiao (2009). </w:t>
      </w:r>
      <w:proofErr w:type="spellStart"/>
      <w:r w:rsidRPr="00C27AA6">
        <w:rPr>
          <w:sz w:val="22"/>
          <w:szCs w:val="22"/>
        </w:rPr>
        <w:t>memerlukan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tentang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membuat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keputusan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meningkatkan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kualitas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hidup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sekarang</w:t>
      </w:r>
      <w:proofErr w:type="spellEnd"/>
      <w:r w:rsidRPr="00C27AA6">
        <w:rPr>
          <w:sz w:val="22"/>
          <w:szCs w:val="22"/>
        </w:rPr>
        <w:t xml:space="preserve"> dan yang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datang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(</w:t>
      </w:r>
      <w:proofErr w:type="spellStart"/>
      <w:r w:rsidRPr="00C27AA6">
        <w:rPr>
          <w:sz w:val="22"/>
          <w:szCs w:val="22"/>
        </w:rPr>
        <w:t>behavior</w:t>
      </w:r>
      <w:proofErr w:type="spellEnd"/>
      <w:r w:rsidRPr="00C27AA6">
        <w:rPr>
          <w:sz w:val="22"/>
          <w:szCs w:val="22"/>
        </w:rPr>
        <w:t xml:space="preserve">) </w:t>
      </w:r>
      <w:proofErr w:type="spellStart"/>
      <w:r w:rsidRPr="00C27AA6">
        <w:rPr>
          <w:sz w:val="22"/>
          <w:szCs w:val="22"/>
        </w:rPr>
        <w:t>individu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merefleksikan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aplikasi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. </w:t>
      </w:r>
    </w:p>
    <w:p w14:paraId="3B2F6768" w14:textId="0CE12BC9" w:rsidR="001952E7" w:rsidRPr="00C27AA6" w:rsidRDefault="001952E7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Teori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Prinsip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Keuangan (Financial Attitude)</w:t>
      </w:r>
    </w:p>
    <w:p w14:paraId="2CC279AF" w14:textId="43C4E094" w:rsidR="001952E7" w:rsidRPr="00C27AA6" w:rsidRDefault="001952E7" w:rsidP="00C27AA6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(attitude) dan </w:t>
      </w:r>
      <w:proofErr w:type="spellStart"/>
      <w:r w:rsidRPr="00C27AA6">
        <w:rPr>
          <w:sz w:val="22"/>
          <w:szCs w:val="22"/>
        </w:rPr>
        <w:t>preferensi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elemen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penting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literasi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konsumen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mempengaruhi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keputusan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mereka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adalah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aplikasi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prinsi-prinsip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menciptakan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memelihara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nilai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melalui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pembuatan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keputusan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sumber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sebaik-baiknya</w:t>
      </w:r>
      <w:proofErr w:type="spellEnd"/>
      <w:r w:rsidRPr="00C27AA6">
        <w:rPr>
          <w:sz w:val="22"/>
          <w:szCs w:val="22"/>
        </w:rPr>
        <w:t xml:space="preserve"> (</w:t>
      </w:r>
      <w:proofErr w:type="spellStart"/>
      <w:r w:rsidRPr="00C27AA6">
        <w:rPr>
          <w:sz w:val="22"/>
          <w:szCs w:val="22"/>
        </w:rPr>
        <w:t>Rajna</w:t>
      </w:r>
      <w:proofErr w:type="spellEnd"/>
      <w:r w:rsidRPr="00C27AA6">
        <w:rPr>
          <w:sz w:val="22"/>
          <w:szCs w:val="22"/>
        </w:rPr>
        <w:t xml:space="preserve">, 2011). </w:t>
      </w:r>
      <w:proofErr w:type="spellStart"/>
      <w:r w:rsidRPr="00C27AA6">
        <w:rPr>
          <w:sz w:val="22"/>
          <w:szCs w:val="22"/>
        </w:rPr>
        <w:t>Eagly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Chaiken</w:t>
      </w:r>
      <w:proofErr w:type="spellEnd"/>
      <w:r w:rsidRPr="00C27AA6">
        <w:rPr>
          <w:sz w:val="22"/>
          <w:szCs w:val="22"/>
        </w:rPr>
        <w:t xml:space="preserve"> (1993) </w:t>
      </w:r>
      <w:proofErr w:type="spellStart"/>
      <w:r w:rsidRPr="00C27AA6">
        <w:rPr>
          <w:sz w:val="22"/>
          <w:szCs w:val="22"/>
        </w:rPr>
        <w:t>mendefinisikan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(attitude)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kecenderungan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psykologi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dinyatakan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penilaian</w:t>
      </w:r>
      <w:proofErr w:type="spellEnd"/>
      <w:r w:rsidRPr="00C27AA6">
        <w:rPr>
          <w:sz w:val="22"/>
          <w:szCs w:val="22"/>
        </w:rPr>
        <w:t xml:space="preserve"> terhadap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entity yang </w:t>
      </w:r>
      <w:proofErr w:type="spellStart"/>
      <w:r w:rsidRPr="00C27AA6">
        <w:rPr>
          <w:sz w:val="22"/>
          <w:szCs w:val="22"/>
        </w:rPr>
        <w:t>teliti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derajat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suka</w:t>
      </w:r>
      <w:proofErr w:type="spellEnd"/>
      <w:r w:rsidRPr="00C27AA6">
        <w:rPr>
          <w:sz w:val="22"/>
          <w:szCs w:val="22"/>
        </w:rPr>
        <w:t xml:space="preserve"> dan tidak </w:t>
      </w:r>
      <w:proofErr w:type="spellStart"/>
      <w:r w:rsidRPr="00C27AA6">
        <w:rPr>
          <w:sz w:val="22"/>
          <w:szCs w:val="22"/>
        </w:rPr>
        <w:t>suka</w:t>
      </w:r>
      <w:proofErr w:type="spellEnd"/>
      <w:r w:rsidRPr="00C27AA6">
        <w:rPr>
          <w:sz w:val="22"/>
          <w:szCs w:val="22"/>
        </w:rPr>
        <w:t xml:space="preserve">. Oleh </w:t>
      </w:r>
      <w:proofErr w:type="spellStart"/>
      <w:r w:rsidRPr="00C27AA6">
        <w:rPr>
          <w:sz w:val="22"/>
          <w:szCs w:val="22"/>
        </w:rPr>
        <w:t>karena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itu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dipertimbangkan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sebagai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kecenderungan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psykologi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dinyatakan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ketika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mengevaluasi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direkomendasikan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tingkat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persetujuan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ketidaksetujuan</w:t>
      </w:r>
      <w:proofErr w:type="spellEnd"/>
      <w:r w:rsidRPr="00C27AA6">
        <w:rPr>
          <w:sz w:val="22"/>
          <w:szCs w:val="22"/>
        </w:rPr>
        <w:t xml:space="preserve">. Jodi et </w:t>
      </w:r>
      <w:proofErr w:type="gramStart"/>
      <w:r w:rsidRPr="00C27AA6">
        <w:rPr>
          <w:sz w:val="22"/>
          <w:szCs w:val="22"/>
        </w:rPr>
        <w:t>al(</w:t>
      </w:r>
      <w:proofErr w:type="gramEnd"/>
      <w:r w:rsidRPr="00C27AA6">
        <w:rPr>
          <w:sz w:val="22"/>
          <w:szCs w:val="22"/>
        </w:rPr>
        <w:t xml:space="preserve">1998). Jika orang </w:t>
      </w:r>
      <w:proofErr w:type="spellStart"/>
      <w:r w:rsidRPr="00C27AA6">
        <w:rPr>
          <w:sz w:val="22"/>
          <w:szCs w:val="22"/>
        </w:rPr>
        <w:t>memiliki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cenderung</w:t>
      </w:r>
      <w:proofErr w:type="spellEnd"/>
      <w:r w:rsidRPr="00C27AA6">
        <w:rPr>
          <w:sz w:val="22"/>
          <w:szCs w:val="22"/>
        </w:rPr>
        <w:t xml:space="preserve"> negative terhadap </w:t>
      </w:r>
      <w:proofErr w:type="spellStart"/>
      <w:r w:rsidRPr="00C27AA6">
        <w:rPr>
          <w:sz w:val="22"/>
          <w:szCs w:val="22"/>
        </w:rPr>
        <w:t>tabungan</w:t>
      </w:r>
      <w:proofErr w:type="spellEnd"/>
      <w:r w:rsidRPr="00C27AA6">
        <w:rPr>
          <w:sz w:val="22"/>
          <w:szCs w:val="22"/>
        </w:rPr>
        <w:t xml:space="preserve"> (saving) </w:t>
      </w:r>
      <w:proofErr w:type="spellStart"/>
      <w:r w:rsidRPr="00C27AA6">
        <w:rPr>
          <w:sz w:val="22"/>
          <w:szCs w:val="22"/>
        </w:rPr>
        <w:t>bagi</w:t>
      </w:r>
      <w:proofErr w:type="spellEnd"/>
      <w:r w:rsidRPr="00C27AA6">
        <w:rPr>
          <w:sz w:val="22"/>
          <w:szCs w:val="22"/>
        </w:rPr>
        <w:t xml:space="preserve"> masa </w:t>
      </w:r>
      <w:proofErr w:type="spellStart"/>
      <w:r w:rsidRPr="00C27AA6">
        <w:rPr>
          <w:sz w:val="22"/>
          <w:szCs w:val="22"/>
        </w:rPr>
        <w:t>depan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mereka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misalnya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hal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ini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menunjukkan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bahwa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cenderung</w:t>
      </w:r>
      <w:proofErr w:type="spellEnd"/>
      <w:r w:rsidRPr="00C27AA6">
        <w:rPr>
          <w:sz w:val="22"/>
          <w:szCs w:val="22"/>
        </w:rPr>
        <w:t xml:space="preserve"> tidak </w:t>
      </w:r>
      <w:proofErr w:type="spellStart"/>
      <w:r w:rsidRPr="00C27AA6">
        <w:rPr>
          <w:sz w:val="22"/>
          <w:szCs w:val="22"/>
        </w:rPr>
        <w:t>melakukan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seperti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itu</w:t>
      </w:r>
      <w:proofErr w:type="spellEnd"/>
      <w:r w:rsidRPr="00C27AA6">
        <w:rPr>
          <w:sz w:val="22"/>
          <w:szCs w:val="22"/>
        </w:rPr>
        <w:t xml:space="preserve">. Sama </w:t>
      </w:r>
      <w:proofErr w:type="spellStart"/>
      <w:r w:rsidRPr="00C27AA6">
        <w:rPr>
          <w:sz w:val="22"/>
          <w:szCs w:val="22"/>
        </w:rPr>
        <w:t>halnya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jika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lebih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memprioritaskan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kebutuhan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jangka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pendek</w:t>
      </w:r>
      <w:proofErr w:type="spellEnd"/>
      <w:r w:rsidRPr="00C27AA6">
        <w:rPr>
          <w:sz w:val="22"/>
          <w:szCs w:val="22"/>
        </w:rPr>
        <w:t xml:space="preserve"> di </w:t>
      </w:r>
      <w:proofErr w:type="spellStart"/>
      <w:r w:rsidRPr="00C27AA6">
        <w:rPr>
          <w:sz w:val="22"/>
          <w:szCs w:val="22"/>
        </w:rPr>
        <w:t>atas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kebutuhan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jangka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panjangnya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mereka</w:t>
      </w:r>
      <w:proofErr w:type="spellEnd"/>
      <w:r w:rsidRPr="00C27AA6">
        <w:rPr>
          <w:sz w:val="22"/>
          <w:szCs w:val="22"/>
        </w:rPr>
        <w:t xml:space="preserve"> tidak </w:t>
      </w:r>
      <w:proofErr w:type="spellStart"/>
      <w:r w:rsidRPr="00C27AA6">
        <w:rPr>
          <w:sz w:val="22"/>
          <w:szCs w:val="22"/>
        </w:rPr>
        <w:t>mungkin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melakukan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kegiatan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menabung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kebutuhan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emergensi</w:t>
      </w:r>
      <w:proofErr w:type="spellEnd"/>
      <w:r w:rsidRPr="00C27AA6">
        <w:rPr>
          <w:sz w:val="22"/>
          <w:szCs w:val="22"/>
        </w:rPr>
        <w:t xml:space="preserve"> atau </w:t>
      </w:r>
      <w:proofErr w:type="spellStart"/>
      <w:r w:rsidRPr="00C27AA6">
        <w:rPr>
          <w:sz w:val="22"/>
          <w:szCs w:val="22"/>
        </w:rPr>
        <w:t>membuat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perencanaan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jangka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panjang</w:t>
      </w:r>
      <w:proofErr w:type="spellEnd"/>
      <w:r w:rsidRPr="00C27AA6">
        <w:rPr>
          <w:sz w:val="22"/>
          <w:szCs w:val="22"/>
        </w:rPr>
        <w:t>.</w:t>
      </w:r>
    </w:p>
    <w:p w14:paraId="72E859D1" w14:textId="5DEA25E1" w:rsidR="001952E7" w:rsidRPr="00C27AA6" w:rsidRDefault="001952E7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proofErr w:type="spellStart"/>
      <w:r w:rsidRPr="00C27AA6">
        <w:rPr>
          <w:b/>
          <w:sz w:val="22"/>
          <w:szCs w:val="22"/>
        </w:rPr>
        <w:t>Teori</w:t>
      </w:r>
      <w:proofErr w:type="spellEnd"/>
      <w:r w:rsidRPr="00C27AA6">
        <w:rPr>
          <w:b/>
          <w:sz w:val="22"/>
          <w:szCs w:val="22"/>
        </w:rPr>
        <w:t xml:space="preserve"> Praktik Manajemen Keuangan Personal</w:t>
      </w:r>
    </w:p>
    <w:p w14:paraId="7ABC08DE" w14:textId="5764A9DB" w:rsidR="001952E7" w:rsidRPr="00C27AA6" w:rsidRDefault="001952E7" w:rsidP="00C27AA6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r w:rsidRPr="00C27AA6">
        <w:rPr>
          <w:sz w:val="22"/>
          <w:szCs w:val="22"/>
        </w:rPr>
        <w:t xml:space="preserve">Manajemen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pribadi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suatu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kegiatan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merencanakan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mengatur</w:t>
      </w:r>
      <w:proofErr w:type="spellEnd"/>
      <w:r w:rsidRPr="00C27AA6">
        <w:rPr>
          <w:sz w:val="22"/>
          <w:szCs w:val="22"/>
        </w:rPr>
        <w:t xml:space="preserve">, dan </w:t>
      </w:r>
      <w:proofErr w:type="spellStart"/>
      <w:r w:rsidRPr="00C27AA6">
        <w:rPr>
          <w:sz w:val="22"/>
          <w:szCs w:val="22"/>
        </w:rPr>
        <w:t>mengawasi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finansial</w:t>
      </w:r>
      <w:proofErr w:type="spellEnd"/>
      <w:r w:rsidRPr="00C27AA6">
        <w:rPr>
          <w:sz w:val="22"/>
          <w:szCs w:val="22"/>
        </w:rPr>
        <w:t xml:space="preserve"> atau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pribadi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Pentingnya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mengelola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pribadi</w:t>
      </w:r>
      <w:proofErr w:type="spellEnd"/>
      <w:r w:rsidRPr="00C27AA6">
        <w:rPr>
          <w:sz w:val="22"/>
          <w:szCs w:val="22"/>
        </w:rPr>
        <w:t xml:space="preserve"> tidak </w:t>
      </w:r>
      <w:proofErr w:type="spellStart"/>
      <w:r w:rsidRPr="00C27AA6">
        <w:rPr>
          <w:sz w:val="22"/>
          <w:szCs w:val="22"/>
        </w:rPr>
        <w:t>disadari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semua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pihak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tentang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sangat </w:t>
      </w:r>
      <w:proofErr w:type="spellStart"/>
      <w:r w:rsidRPr="00C27AA6">
        <w:rPr>
          <w:sz w:val="22"/>
          <w:szCs w:val="22"/>
        </w:rPr>
        <w:t>penting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individu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Sering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sekali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melihat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fenomena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masyarakat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luas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mengalami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kesulitan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mengelola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uangnya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bukan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diakibatkan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jumlah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pendapatan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sedikit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tetapi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kurangnya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pengelolaan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pribadi</w:t>
      </w:r>
      <w:proofErr w:type="spellEnd"/>
      <w:r w:rsidRPr="00C27AA6">
        <w:rPr>
          <w:sz w:val="22"/>
          <w:szCs w:val="22"/>
        </w:rPr>
        <w:t xml:space="preserve">. </w:t>
      </w:r>
      <w:proofErr w:type="spellStart"/>
      <w:r w:rsidRPr="00C27AA6">
        <w:rPr>
          <w:sz w:val="22"/>
          <w:szCs w:val="22"/>
        </w:rPr>
        <w:t>Adanya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pengetahuan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mengelola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tersebut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individu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mampu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mengelola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sehingga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memperoleh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keuntungan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semakin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besar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meningkatkan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taraf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kehidupannya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memiliki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sikap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perilaku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baik</w:t>
      </w:r>
      <w:proofErr w:type="spellEnd"/>
      <w:r w:rsidRPr="00C27AA6">
        <w:rPr>
          <w:sz w:val="22"/>
          <w:szCs w:val="22"/>
        </w:rPr>
        <w:t xml:space="preserve"> juga </w:t>
      </w:r>
      <w:proofErr w:type="spellStart"/>
      <w:r w:rsidRPr="00C27AA6">
        <w:rPr>
          <w:sz w:val="22"/>
          <w:szCs w:val="22"/>
        </w:rPr>
        <w:t>penting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seorang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individu</w:t>
      </w:r>
      <w:proofErr w:type="spellEnd"/>
      <w:r w:rsidRPr="00C27AA6">
        <w:rPr>
          <w:sz w:val="22"/>
          <w:szCs w:val="22"/>
        </w:rPr>
        <w:t xml:space="preserve"> agar </w:t>
      </w:r>
      <w:proofErr w:type="spellStart"/>
      <w:r w:rsidRPr="00C27AA6">
        <w:rPr>
          <w:sz w:val="22"/>
          <w:szCs w:val="22"/>
        </w:rPr>
        <w:t>masalah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keuangan</w:t>
      </w:r>
      <w:proofErr w:type="spellEnd"/>
      <w:r w:rsidRPr="00C27AA6">
        <w:rPr>
          <w:sz w:val="22"/>
          <w:szCs w:val="22"/>
        </w:rPr>
        <w:t xml:space="preserve"> tidak </w:t>
      </w:r>
      <w:proofErr w:type="spellStart"/>
      <w:r w:rsidRPr="00C27AA6">
        <w:rPr>
          <w:sz w:val="22"/>
          <w:szCs w:val="22"/>
        </w:rPr>
        <w:t>menghampirinya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Safitri</w:t>
      </w:r>
      <w:proofErr w:type="spellEnd"/>
      <w:r w:rsidRPr="00C27AA6">
        <w:rPr>
          <w:sz w:val="22"/>
          <w:szCs w:val="22"/>
        </w:rPr>
        <w:t xml:space="preserve"> &amp; </w:t>
      </w:r>
      <w:proofErr w:type="spellStart"/>
      <w:r w:rsidRPr="00C27AA6">
        <w:rPr>
          <w:sz w:val="22"/>
          <w:szCs w:val="22"/>
        </w:rPr>
        <w:t>Sukirman</w:t>
      </w:r>
      <w:proofErr w:type="spellEnd"/>
      <w:r w:rsidRPr="00C27AA6">
        <w:rPr>
          <w:sz w:val="22"/>
          <w:szCs w:val="22"/>
        </w:rPr>
        <w:t>, (2018).</w:t>
      </w:r>
    </w:p>
    <w:p w14:paraId="01A61799" w14:textId="77777777" w:rsidR="006F107A" w:rsidRPr="00C27AA6" w:rsidRDefault="006F107A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C27AA6">
        <w:rPr>
          <w:b/>
          <w:sz w:val="22"/>
          <w:szCs w:val="22"/>
        </w:rPr>
        <w:t xml:space="preserve">Gender </w:t>
      </w:r>
      <w:proofErr w:type="spellStart"/>
      <w:r w:rsidRPr="00C27AA6">
        <w:rPr>
          <w:b/>
          <w:sz w:val="22"/>
          <w:szCs w:val="22"/>
        </w:rPr>
        <w:t>dengan</w:t>
      </w:r>
      <w:proofErr w:type="spellEnd"/>
      <w:r w:rsidRPr="00C27AA6">
        <w:rPr>
          <w:b/>
          <w:sz w:val="22"/>
          <w:szCs w:val="22"/>
        </w:rPr>
        <w:t xml:space="preserve"> Praktik Manajemen Keuangan</w:t>
      </w:r>
    </w:p>
    <w:p w14:paraId="40084B95" w14:textId="571C3BFC" w:rsidR="006F107A" w:rsidRPr="00C27AA6" w:rsidRDefault="006F107A" w:rsidP="00C27AA6">
      <w:pPr>
        <w:pStyle w:val="NormalWeb"/>
        <w:spacing w:line="276" w:lineRule="auto"/>
        <w:ind w:firstLine="720"/>
        <w:jc w:val="both"/>
        <w:rPr>
          <w:b/>
          <w:sz w:val="22"/>
          <w:szCs w:val="22"/>
        </w:rPr>
      </w:pPr>
      <w:proofErr w:type="spellStart"/>
      <w:r w:rsidRPr="00C27AA6">
        <w:rPr>
          <w:sz w:val="22"/>
          <w:szCs w:val="22"/>
        </w:rPr>
        <w:t>Analisis</w:t>
      </w:r>
      <w:proofErr w:type="spellEnd"/>
      <w:r w:rsidRPr="00C27AA6">
        <w:rPr>
          <w:sz w:val="22"/>
          <w:szCs w:val="22"/>
        </w:rPr>
        <w:t xml:space="preserve"> gender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pengkajian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pembagian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kerja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berbasis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jenis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kelamin</w:t>
      </w:r>
      <w:proofErr w:type="spellEnd"/>
      <w:r w:rsidRPr="00C27AA6">
        <w:rPr>
          <w:sz w:val="22"/>
          <w:szCs w:val="22"/>
        </w:rPr>
        <w:t xml:space="preserve">, </w:t>
      </w:r>
      <w:proofErr w:type="spellStart"/>
      <w:r w:rsidRPr="00C27AA6">
        <w:rPr>
          <w:sz w:val="22"/>
          <w:szCs w:val="22"/>
        </w:rPr>
        <w:t>akses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kontrol</w:t>
      </w:r>
      <w:proofErr w:type="spellEnd"/>
      <w:r w:rsidRPr="00C27AA6">
        <w:rPr>
          <w:sz w:val="22"/>
          <w:szCs w:val="22"/>
        </w:rPr>
        <w:t xml:space="preserve"> yang </w:t>
      </w:r>
      <w:proofErr w:type="spellStart"/>
      <w:r w:rsidRPr="00C27AA6">
        <w:rPr>
          <w:sz w:val="22"/>
          <w:szCs w:val="22"/>
        </w:rPr>
        <w:t>dimiliki</w:t>
      </w:r>
      <w:proofErr w:type="spellEnd"/>
      <w:r w:rsidRPr="00C27AA6">
        <w:rPr>
          <w:sz w:val="22"/>
          <w:szCs w:val="22"/>
        </w:rPr>
        <w:t xml:space="preserve"> oleh </w:t>
      </w:r>
      <w:proofErr w:type="spellStart"/>
      <w:r w:rsidRPr="00C27AA6">
        <w:rPr>
          <w:sz w:val="22"/>
          <w:szCs w:val="22"/>
        </w:rPr>
        <w:t>perempuan</w:t>
      </w:r>
      <w:proofErr w:type="spellEnd"/>
      <w:r w:rsidRPr="00C27AA6">
        <w:rPr>
          <w:sz w:val="22"/>
          <w:szCs w:val="22"/>
        </w:rPr>
        <w:t xml:space="preserve"> dan </w:t>
      </w:r>
      <w:proofErr w:type="spellStart"/>
      <w:r w:rsidRPr="00C27AA6">
        <w:rPr>
          <w:sz w:val="22"/>
          <w:szCs w:val="22"/>
        </w:rPr>
        <w:t>laki-laki</w:t>
      </w:r>
      <w:proofErr w:type="spellEnd"/>
      <w:r w:rsidRPr="00C27AA6">
        <w:rPr>
          <w:sz w:val="22"/>
          <w:szCs w:val="22"/>
        </w:rPr>
        <w:t xml:space="preserve"> (</w:t>
      </w:r>
      <w:proofErr w:type="spellStart"/>
      <w:r w:rsidRPr="00C27AA6">
        <w:rPr>
          <w:sz w:val="22"/>
          <w:szCs w:val="22"/>
        </w:rPr>
        <w:t>Elfi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Muawanah</w:t>
      </w:r>
      <w:proofErr w:type="spellEnd"/>
      <w:r w:rsidRPr="00C27AA6">
        <w:rPr>
          <w:sz w:val="22"/>
          <w:szCs w:val="22"/>
        </w:rPr>
        <w:t xml:space="preserve">, 2009). Dari </w:t>
      </w:r>
      <w:proofErr w:type="spellStart"/>
      <w:r w:rsidRPr="00C27AA6">
        <w:rPr>
          <w:sz w:val="22"/>
          <w:szCs w:val="22"/>
        </w:rPr>
        <w:t>hal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tersebut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dapat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dipahami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bahwa</w:t>
      </w:r>
      <w:proofErr w:type="spellEnd"/>
      <w:r w:rsidRPr="00C27AA6">
        <w:rPr>
          <w:sz w:val="22"/>
          <w:szCs w:val="22"/>
        </w:rPr>
        <w:t xml:space="preserve"> gender </w:t>
      </w:r>
      <w:proofErr w:type="spellStart"/>
      <w:r w:rsidRPr="00C27AA6">
        <w:rPr>
          <w:sz w:val="22"/>
          <w:szCs w:val="22"/>
        </w:rPr>
        <w:t>merupakan</w:t>
      </w:r>
      <w:proofErr w:type="spellEnd"/>
      <w:r w:rsidRPr="00C27AA6">
        <w:rPr>
          <w:sz w:val="22"/>
          <w:szCs w:val="22"/>
        </w:rPr>
        <w:t xml:space="preserve"> salah </w:t>
      </w:r>
      <w:proofErr w:type="spellStart"/>
      <w:r w:rsidRPr="00C27AA6">
        <w:rPr>
          <w:sz w:val="22"/>
          <w:szCs w:val="22"/>
        </w:rPr>
        <w:t>satu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faktor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penting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bagi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individu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untuk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membuat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keputusan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kehidupannya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baik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secara</w:t>
      </w:r>
      <w:proofErr w:type="spellEnd"/>
      <w:r w:rsidRPr="00C27AA6">
        <w:rPr>
          <w:sz w:val="22"/>
          <w:szCs w:val="22"/>
        </w:rPr>
        <w:t xml:space="preserve"> social </w:t>
      </w:r>
      <w:proofErr w:type="spellStart"/>
      <w:r w:rsidRPr="00C27AA6">
        <w:rPr>
          <w:sz w:val="22"/>
          <w:szCs w:val="22"/>
        </w:rPr>
        <w:t>maupun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proofErr w:type="gramStart"/>
      <w:r w:rsidRPr="00C27AA6">
        <w:rPr>
          <w:sz w:val="22"/>
          <w:szCs w:val="22"/>
        </w:rPr>
        <w:t>ekonomi.Sejalan</w:t>
      </w:r>
      <w:proofErr w:type="spellEnd"/>
      <w:proofErr w:type="gram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dengan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penelitian</w:t>
      </w:r>
      <w:proofErr w:type="spellEnd"/>
      <w:r w:rsidRPr="00C27AA6">
        <w:rPr>
          <w:sz w:val="22"/>
          <w:szCs w:val="22"/>
        </w:rPr>
        <w:t xml:space="preserve"> Haiyang Chen dan Ronald P. Volpe (1998) </w:t>
      </w:r>
      <w:proofErr w:type="spellStart"/>
      <w:r w:rsidRPr="00C27AA6">
        <w:rPr>
          <w:sz w:val="22"/>
          <w:szCs w:val="22"/>
        </w:rPr>
        <w:t>dalam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penelitiannya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menemukan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bahwa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laki-laki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lebih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memahami</w:t>
      </w:r>
      <w:proofErr w:type="spellEnd"/>
      <w:r w:rsidRPr="00C27AA6">
        <w:rPr>
          <w:sz w:val="22"/>
          <w:szCs w:val="22"/>
        </w:rPr>
        <w:t xml:space="preserve"> financial literacy </w:t>
      </w:r>
      <w:proofErr w:type="spellStart"/>
      <w:r w:rsidRPr="00C27AA6">
        <w:rPr>
          <w:sz w:val="22"/>
          <w:szCs w:val="22"/>
        </w:rPr>
        <w:t>dibandingkan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perempuan</w:t>
      </w:r>
      <w:proofErr w:type="spellEnd"/>
      <w:r w:rsidRPr="00C27AA6">
        <w:rPr>
          <w:sz w:val="22"/>
          <w:szCs w:val="22"/>
        </w:rPr>
        <w:t>.</w:t>
      </w:r>
    </w:p>
    <w:p w14:paraId="76B9953A" w14:textId="77777777" w:rsidR="00171708" w:rsidRPr="00C27AA6" w:rsidRDefault="006F107A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C27AA6">
        <w:rPr>
          <w:b/>
          <w:sz w:val="22"/>
          <w:szCs w:val="22"/>
        </w:rPr>
        <w:t xml:space="preserve">Tingkat Pendidikan </w:t>
      </w:r>
      <w:proofErr w:type="spellStart"/>
      <w:r w:rsidRPr="00C27AA6">
        <w:rPr>
          <w:b/>
          <w:sz w:val="22"/>
          <w:szCs w:val="22"/>
        </w:rPr>
        <w:t>dengan</w:t>
      </w:r>
      <w:proofErr w:type="spellEnd"/>
      <w:r w:rsidRPr="00C27AA6">
        <w:rPr>
          <w:b/>
          <w:sz w:val="22"/>
          <w:szCs w:val="22"/>
        </w:rPr>
        <w:t xml:space="preserve"> Praktik Manajemen Keuangan Personal</w:t>
      </w:r>
    </w:p>
    <w:p w14:paraId="4BB6500E" w14:textId="4D9B84D5" w:rsidR="00171708" w:rsidRPr="00C27AA6" w:rsidRDefault="00B0148E" w:rsidP="00C27AA6">
      <w:pPr>
        <w:pStyle w:val="NormalWeb"/>
        <w:spacing w:line="276" w:lineRule="auto"/>
        <w:ind w:firstLine="720"/>
        <w:jc w:val="both"/>
        <w:rPr>
          <w:sz w:val="22"/>
          <w:szCs w:val="22"/>
        </w:rPr>
      </w:pPr>
      <w:r w:rsidRPr="00C27AA6">
        <w:rPr>
          <w:sz w:val="22"/>
          <w:szCs w:val="22"/>
        </w:rPr>
        <w:t>T</w:t>
      </w:r>
      <w:r w:rsidR="00171708" w:rsidRPr="00C27AA6">
        <w:rPr>
          <w:sz w:val="22"/>
          <w:szCs w:val="22"/>
        </w:rPr>
        <w:t xml:space="preserve">ingkat </w:t>
      </w:r>
      <w:proofErr w:type="spellStart"/>
      <w:r w:rsidR="00171708" w:rsidRPr="00C27AA6">
        <w:rPr>
          <w:sz w:val="22"/>
          <w:szCs w:val="22"/>
        </w:rPr>
        <w:t>pendidikan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diidentifikasi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sebagai</w:t>
      </w:r>
      <w:proofErr w:type="spellEnd"/>
      <w:r w:rsidR="00171708" w:rsidRPr="00C27AA6">
        <w:rPr>
          <w:sz w:val="22"/>
          <w:szCs w:val="22"/>
        </w:rPr>
        <w:t xml:space="preserve"> salah </w:t>
      </w:r>
      <w:proofErr w:type="spellStart"/>
      <w:r w:rsidR="00171708" w:rsidRPr="00C27AA6">
        <w:rPr>
          <w:sz w:val="22"/>
          <w:szCs w:val="22"/>
        </w:rPr>
        <w:t>satu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faktor</w:t>
      </w:r>
      <w:proofErr w:type="spellEnd"/>
      <w:r w:rsidR="00171708" w:rsidRPr="00C27AA6">
        <w:rPr>
          <w:sz w:val="22"/>
          <w:szCs w:val="22"/>
        </w:rPr>
        <w:t xml:space="preserve"> yang </w:t>
      </w:r>
      <w:proofErr w:type="spellStart"/>
      <w:r w:rsidR="00171708" w:rsidRPr="00C27AA6">
        <w:rPr>
          <w:sz w:val="22"/>
          <w:szCs w:val="22"/>
        </w:rPr>
        <w:t>memengaruhi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perilaku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pengelolaan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keuangan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pribadi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seseorang</w:t>
      </w:r>
      <w:proofErr w:type="spellEnd"/>
      <w:r w:rsidR="00171708" w:rsidRPr="00C27AA6">
        <w:rPr>
          <w:sz w:val="22"/>
          <w:szCs w:val="22"/>
        </w:rPr>
        <w:t xml:space="preserve">. </w:t>
      </w:r>
      <w:proofErr w:type="spellStart"/>
      <w:r w:rsidR="00171708" w:rsidRPr="00C27AA6">
        <w:rPr>
          <w:sz w:val="22"/>
          <w:szCs w:val="22"/>
        </w:rPr>
        <w:t>Bahwa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pendidikan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tinggi</w:t>
      </w:r>
      <w:proofErr w:type="spellEnd"/>
      <w:r w:rsidR="00171708" w:rsidRPr="00C27AA6">
        <w:rPr>
          <w:sz w:val="22"/>
          <w:szCs w:val="22"/>
        </w:rPr>
        <w:t xml:space="preserve"> dan </w:t>
      </w:r>
      <w:proofErr w:type="spellStart"/>
      <w:r w:rsidR="00171708" w:rsidRPr="00C27AA6">
        <w:rPr>
          <w:sz w:val="22"/>
          <w:szCs w:val="22"/>
        </w:rPr>
        <w:t>rendah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memiliki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tingkat</w:t>
      </w:r>
      <w:proofErr w:type="spellEnd"/>
      <w:r w:rsidR="00171708" w:rsidRPr="00C27AA6">
        <w:rPr>
          <w:sz w:val="22"/>
          <w:szCs w:val="22"/>
        </w:rPr>
        <w:t xml:space="preserve"> yang </w:t>
      </w:r>
      <w:proofErr w:type="spellStart"/>
      <w:r w:rsidR="00171708" w:rsidRPr="00C27AA6">
        <w:rPr>
          <w:sz w:val="22"/>
          <w:szCs w:val="22"/>
        </w:rPr>
        <w:t>berbeda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dalam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pengelolaan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keuangan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pribadi</w:t>
      </w:r>
      <w:proofErr w:type="spellEnd"/>
      <w:r w:rsidR="00171708" w:rsidRPr="00C27AA6">
        <w:rPr>
          <w:sz w:val="22"/>
          <w:szCs w:val="22"/>
        </w:rPr>
        <w:t xml:space="preserve">, yang </w:t>
      </w:r>
      <w:proofErr w:type="spellStart"/>
      <w:r w:rsidR="00171708" w:rsidRPr="00C27AA6">
        <w:rPr>
          <w:sz w:val="22"/>
          <w:szCs w:val="22"/>
        </w:rPr>
        <w:t>berdampak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kepada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penerapan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pengelolaan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keuangan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seseorang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sesuai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dengan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tingkatan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Pendidikannya</w:t>
      </w:r>
      <w:proofErr w:type="spellEnd"/>
      <w:r w:rsidR="00171708" w:rsidRPr="00C27AA6">
        <w:rPr>
          <w:sz w:val="22"/>
          <w:szCs w:val="22"/>
        </w:rPr>
        <w:t xml:space="preserve">. Para </w:t>
      </w:r>
      <w:proofErr w:type="spellStart"/>
      <w:r w:rsidR="00171708" w:rsidRPr="00C27AA6">
        <w:rPr>
          <w:sz w:val="22"/>
          <w:szCs w:val="22"/>
        </w:rPr>
        <w:t>peneliti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telah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menemukan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bahwa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tingkat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pendidikan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dapat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memengaruhi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urusan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keuangan</w:t>
      </w:r>
      <w:proofErr w:type="spellEnd"/>
      <w:r w:rsidR="00171708" w:rsidRPr="00C27AA6">
        <w:rPr>
          <w:sz w:val="22"/>
          <w:szCs w:val="22"/>
        </w:rPr>
        <w:t xml:space="preserve">, </w:t>
      </w:r>
      <w:proofErr w:type="spellStart"/>
      <w:r w:rsidR="00171708" w:rsidRPr="00C27AA6">
        <w:rPr>
          <w:sz w:val="22"/>
          <w:szCs w:val="22"/>
        </w:rPr>
        <w:t>khususnya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dalam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pengelolaan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keuangan</w:t>
      </w:r>
      <w:proofErr w:type="spellEnd"/>
      <w:r w:rsidR="00171708" w:rsidRPr="00C27AA6">
        <w:rPr>
          <w:sz w:val="22"/>
          <w:szCs w:val="22"/>
        </w:rPr>
        <w:t xml:space="preserve"> </w:t>
      </w:r>
      <w:proofErr w:type="spellStart"/>
      <w:r w:rsidR="00171708" w:rsidRPr="00C27AA6">
        <w:rPr>
          <w:sz w:val="22"/>
          <w:szCs w:val="22"/>
        </w:rPr>
        <w:t>pribadi</w:t>
      </w:r>
      <w:proofErr w:type="spellEnd"/>
      <w:r w:rsidR="00171708" w:rsidRPr="00C27AA6">
        <w:rPr>
          <w:sz w:val="22"/>
          <w:szCs w:val="22"/>
        </w:rPr>
        <w:t>.</w:t>
      </w:r>
    </w:p>
    <w:p w14:paraId="6243BA91" w14:textId="067AC3E1" w:rsidR="00B0148E" w:rsidRPr="00C27AA6" w:rsidRDefault="00B0148E" w:rsidP="00C27AA6">
      <w:pPr>
        <w:pStyle w:val="NormalWeb"/>
        <w:spacing w:line="276" w:lineRule="auto"/>
        <w:jc w:val="both"/>
        <w:rPr>
          <w:b/>
          <w:sz w:val="22"/>
          <w:szCs w:val="22"/>
        </w:rPr>
      </w:pPr>
      <w:r w:rsidRPr="00C27AA6">
        <w:rPr>
          <w:b/>
          <w:sz w:val="22"/>
          <w:szCs w:val="22"/>
        </w:rPr>
        <w:t xml:space="preserve">Usia </w:t>
      </w:r>
      <w:proofErr w:type="spellStart"/>
      <w:r w:rsidRPr="00C27AA6">
        <w:rPr>
          <w:b/>
          <w:sz w:val="22"/>
          <w:szCs w:val="22"/>
        </w:rPr>
        <w:t>dengan</w:t>
      </w:r>
      <w:proofErr w:type="spellEnd"/>
      <w:r w:rsidRPr="00C27AA6">
        <w:rPr>
          <w:b/>
          <w:sz w:val="22"/>
          <w:szCs w:val="22"/>
        </w:rPr>
        <w:t xml:space="preserve"> Praktik Manajemen Keuangan Personal</w:t>
      </w:r>
    </w:p>
    <w:p w14:paraId="3C056594" w14:textId="20CAE633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Usia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salah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muda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Para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menemukan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urusan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khususnya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22EDE674" w14:textId="77777777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385E9D72" w14:textId="1BAEC543" w:rsidR="00534C7A" w:rsidRPr="00C27AA6" w:rsidRDefault="00534C7A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Jumlah Tanggungan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Praktik Manajemen Keuangan Personal</w:t>
      </w:r>
    </w:p>
    <w:p w14:paraId="5C7C88BA" w14:textId="76AAE140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Jumlah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suatu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ditemukan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mengambil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keputusan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mengelola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khususnya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pula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terhindar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permasalahan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banyaknya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sedikit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pula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terhindar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permasalahan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pribadinya.Secara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umum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orang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mengira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apabila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cenderung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Karena pada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dasarnya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terutama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perencanaan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pribadi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14905D26" w14:textId="77777777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59F8F94" w14:textId="015228E4" w:rsidR="00534C7A" w:rsidRPr="00C27AA6" w:rsidRDefault="00534C7A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Golongan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Praktik Manajemen Keuangan Personal</w:t>
      </w:r>
    </w:p>
    <w:p w14:paraId="28D1DFDF" w14:textId="3401D5F4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Golongan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sangatlah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menentukan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pendapatan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Status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kepegaiwan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sangatlah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khususnya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,</w:t>
      </w:r>
    </w:p>
    <w:p w14:paraId="40E3E1A8" w14:textId="77777777" w:rsidR="00534C7A" w:rsidRPr="00C27AA6" w:rsidRDefault="00534C7A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</w:p>
    <w:p w14:paraId="0FEF7CA0" w14:textId="50AD9388" w:rsidR="00534C7A" w:rsidRPr="00C27AA6" w:rsidRDefault="00534C7A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Keuangan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Praktik Manajemen Keuangan Personal</w:t>
      </w:r>
    </w:p>
    <w:p w14:paraId="30B63497" w14:textId="6A035E5F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Pengalokasian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sumber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dibutuhkan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masyarakat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tercapainya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kesejahteraan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finansial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taraf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baik.Maka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sangatlah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khususnya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07E36CFD" w14:textId="3E526B4D" w:rsidR="00534C7A" w:rsidRPr="00C27AA6" w:rsidRDefault="00534C7A" w:rsidP="00C27A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Dari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uraian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diatas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paradima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digambarkan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berikut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1E48633E" w14:textId="14EAA854" w:rsidR="00534C7A" w:rsidRDefault="00534C7A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831EF86" wp14:editId="6299383F">
            <wp:extent cx="2430780" cy="2278533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5959" cy="231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5165" w14:textId="3474242E" w:rsidR="000B384C" w:rsidRPr="000B384C" w:rsidRDefault="000B384C" w:rsidP="000B38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 2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Paradigma</w:t>
      </w:r>
      <w:proofErr w:type="spellEnd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Penelitian</w:t>
      </w:r>
      <w:proofErr w:type="spellEnd"/>
    </w:p>
    <w:p w14:paraId="76056B09" w14:textId="441EDDE5" w:rsidR="00534C7A" w:rsidRPr="00C27AA6" w:rsidRDefault="00534C7A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kerangka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pemikiran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dirumuskan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5CCB" w:rsidRPr="00C27AA6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A55CCB" w:rsidRPr="00C27AA6">
        <w:rPr>
          <w:rFonts w:ascii="Times New Roman" w:hAnsi="Times New Roman" w:cs="Times New Roman"/>
          <w:sz w:val="22"/>
          <w:szCs w:val="22"/>
        </w:rPr>
        <w:t>berikut</w:t>
      </w:r>
      <w:proofErr w:type="spellEnd"/>
      <w:r w:rsidR="00A55CCB"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14:paraId="268F2AB5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1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Gender,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Pendidikan,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status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kepegawaian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simultan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5D661BF9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H2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ab/>
      </w:r>
      <w:r w:rsidRPr="00C27AA6">
        <w:rPr>
          <w:rFonts w:ascii="Times New Roman" w:hAnsi="Times New Roman" w:cs="Times New Roman"/>
          <w:sz w:val="22"/>
          <w:szCs w:val="22"/>
        </w:rPr>
        <w:t>:Gender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314BFE78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3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Tingkat Pendidikan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4B6E015B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4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Usia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5636F000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5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Jumlah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14A21814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6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29827635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</w:t>
      </w:r>
      <w:proofErr w:type="gramStart"/>
      <w:r w:rsidRPr="00C27AA6">
        <w:rPr>
          <w:rFonts w:ascii="Times New Roman" w:hAnsi="Times New Roman" w:cs="Times New Roman"/>
          <w:b/>
          <w:sz w:val="22"/>
          <w:szCs w:val="22"/>
        </w:rPr>
        <w:t>7</w:t>
      </w:r>
      <w:r w:rsidRPr="00C27AA6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berpengaruh terhadap Praktik Manajemen Keuangan Personal</w:t>
      </w:r>
    </w:p>
    <w:p w14:paraId="0CFD98E9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H8</w:t>
      </w:r>
      <w:r w:rsidRPr="00C27AA6">
        <w:rPr>
          <w:rFonts w:ascii="Times New Roman" w:hAnsi="Times New Roman" w:cs="Times New Roman"/>
          <w:b/>
          <w:sz w:val="22"/>
          <w:szCs w:val="22"/>
        </w:rPr>
        <w:tab/>
      </w:r>
      <w:r w:rsidRPr="00C27AA6"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Prilaku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berpengaruh terhadap Praktik Manajemen Keuangan Personal</w:t>
      </w:r>
    </w:p>
    <w:p w14:paraId="77DFEB52" w14:textId="77777777" w:rsidR="00A55CCB" w:rsidRPr="00C27AA6" w:rsidRDefault="00A55CCB" w:rsidP="000B384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b/>
          <w:sz w:val="22"/>
          <w:szCs w:val="22"/>
        </w:rPr>
        <w:t>H9</w:t>
      </w:r>
      <w:r w:rsidRPr="00C27AA6">
        <w:rPr>
          <w:rFonts w:ascii="Times New Roman" w:hAnsi="Times New Roman" w:cs="Times New Roman"/>
          <w:b/>
          <w:sz w:val="22"/>
          <w:szCs w:val="22"/>
        </w:rPr>
        <w:tab/>
      </w:r>
      <w:r w:rsidRPr="00C27AA6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Sikap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berpengaruh terhadap Praktik Manajemen Keuangan Personal</w:t>
      </w:r>
    </w:p>
    <w:p w14:paraId="4754645A" w14:textId="2031D841" w:rsidR="00C00AAD" w:rsidRPr="00C27AA6" w:rsidRDefault="00C00AAD" w:rsidP="00C27AA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P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id-ID"/>
        </w:rPr>
        <w:t>opulasi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id-ID"/>
        </w:rPr>
        <w:t xml:space="preserve"> dalam penelitian ini adalah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semua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Guru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Negri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masih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aktif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menjadi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unit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populasinya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Guru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Negri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Tingkat TK, SD, dan SMP, SMA, SMK di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Kab.Kuningan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data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didapat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Guru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Negri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sebanyak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6.123 orang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dilihat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 xml:space="preserve"> table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</w:rPr>
        <w:t>berikut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3341E784" w14:textId="58563DF7" w:rsidR="00C00AAD" w:rsidRPr="000B384C" w:rsidRDefault="000B384C" w:rsidP="00C27AA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0B384C">
        <w:rPr>
          <w:rFonts w:ascii="Times New Roman" w:eastAsia="Calibri" w:hAnsi="Times New Roman" w:cs="Times New Roman"/>
          <w:b/>
          <w:sz w:val="20"/>
          <w:szCs w:val="20"/>
        </w:rPr>
        <w:t>Tabel</w:t>
      </w:r>
      <w:proofErr w:type="spellEnd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B384C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C00AAD" w:rsidRPr="000B384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 xml:space="preserve">Data Guru </w:t>
      </w:r>
      <w:proofErr w:type="spellStart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>Pegawai</w:t>
      </w:r>
      <w:proofErr w:type="spellEnd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 xml:space="preserve"> Negri </w:t>
      </w:r>
      <w:proofErr w:type="spellStart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>Sipil</w:t>
      </w:r>
      <w:proofErr w:type="spellEnd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>Kabupaten</w:t>
      </w:r>
      <w:proofErr w:type="spellEnd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C00AAD" w:rsidRPr="000B384C">
        <w:rPr>
          <w:rFonts w:ascii="Times New Roman" w:eastAsia="Calibri" w:hAnsi="Times New Roman" w:cs="Times New Roman"/>
          <w:b/>
          <w:sz w:val="20"/>
          <w:szCs w:val="20"/>
        </w:rPr>
        <w:t>Kuningan</w:t>
      </w:r>
      <w:proofErr w:type="spellEnd"/>
    </w:p>
    <w:tbl>
      <w:tblPr>
        <w:tblStyle w:val="TableGrid"/>
        <w:tblW w:w="0" w:type="auto"/>
        <w:tblInd w:w="910" w:type="dxa"/>
        <w:tblLook w:val="04A0" w:firstRow="1" w:lastRow="0" w:firstColumn="1" w:lastColumn="0" w:noHBand="0" w:noVBand="1"/>
      </w:tblPr>
      <w:tblGrid>
        <w:gridCol w:w="531"/>
        <w:gridCol w:w="1173"/>
        <w:gridCol w:w="1193"/>
      </w:tblGrid>
      <w:tr w:rsidR="00C00AAD" w:rsidRPr="00C27AA6" w14:paraId="792C04C9" w14:textId="77777777" w:rsidTr="000B384C">
        <w:tc>
          <w:tcPr>
            <w:tcW w:w="531" w:type="dxa"/>
          </w:tcPr>
          <w:p w14:paraId="76001FDB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AA6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1173" w:type="dxa"/>
          </w:tcPr>
          <w:p w14:paraId="7DD2FC2E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AA6">
              <w:rPr>
                <w:rFonts w:ascii="Times New Roman" w:eastAsia="Calibri" w:hAnsi="Times New Roman" w:cs="Times New Roman"/>
                <w:b/>
              </w:rPr>
              <w:t>Tingkat</w:t>
            </w:r>
          </w:p>
        </w:tc>
        <w:tc>
          <w:tcPr>
            <w:tcW w:w="1193" w:type="dxa"/>
          </w:tcPr>
          <w:p w14:paraId="22217902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AA6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</w:tr>
      <w:tr w:rsidR="00C00AAD" w:rsidRPr="00C27AA6" w14:paraId="1C9B3AD6" w14:textId="77777777" w:rsidTr="000B384C">
        <w:tc>
          <w:tcPr>
            <w:tcW w:w="531" w:type="dxa"/>
          </w:tcPr>
          <w:p w14:paraId="28C082AA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3" w:type="dxa"/>
          </w:tcPr>
          <w:p w14:paraId="7C61801B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TK</w:t>
            </w:r>
          </w:p>
        </w:tc>
        <w:tc>
          <w:tcPr>
            <w:tcW w:w="1193" w:type="dxa"/>
          </w:tcPr>
          <w:p w14:paraId="437C8F88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185</w:t>
            </w:r>
          </w:p>
        </w:tc>
      </w:tr>
      <w:tr w:rsidR="00C00AAD" w:rsidRPr="00C27AA6" w14:paraId="138DBF20" w14:textId="77777777" w:rsidTr="000B384C">
        <w:tc>
          <w:tcPr>
            <w:tcW w:w="531" w:type="dxa"/>
          </w:tcPr>
          <w:p w14:paraId="0A2CE2D6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73" w:type="dxa"/>
          </w:tcPr>
          <w:p w14:paraId="7706DCF8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SD</w:t>
            </w:r>
          </w:p>
        </w:tc>
        <w:tc>
          <w:tcPr>
            <w:tcW w:w="1193" w:type="dxa"/>
          </w:tcPr>
          <w:p w14:paraId="5D57FCE5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3.542</w:t>
            </w:r>
          </w:p>
        </w:tc>
      </w:tr>
      <w:tr w:rsidR="00C00AAD" w:rsidRPr="00C27AA6" w14:paraId="0C85D016" w14:textId="77777777" w:rsidTr="000B384C">
        <w:tc>
          <w:tcPr>
            <w:tcW w:w="531" w:type="dxa"/>
          </w:tcPr>
          <w:p w14:paraId="3FE9F19C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3" w:type="dxa"/>
          </w:tcPr>
          <w:p w14:paraId="0CE6D65A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SMP</w:t>
            </w:r>
          </w:p>
        </w:tc>
        <w:tc>
          <w:tcPr>
            <w:tcW w:w="1193" w:type="dxa"/>
          </w:tcPr>
          <w:p w14:paraId="0EB9E4A9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1.448</w:t>
            </w:r>
          </w:p>
        </w:tc>
      </w:tr>
      <w:tr w:rsidR="00C00AAD" w:rsidRPr="00C27AA6" w14:paraId="2D92929F" w14:textId="77777777" w:rsidTr="000B384C">
        <w:tc>
          <w:tcPr>
            <w:tcW w:w="531" w:type="dxa"/>
          </w:tcPr>
          <w:p w14:paraId="048C814F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3" w:type="dxa"/>
          </w:tcPr>
          <w:p w14:paraId="1D4978B6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SMA</w:t>
            </w:r>
          </w:p>
        </w:tc>
        <w:tc>
          <w:tcPr>
            <w:tcW w:w="1193" w:type="dxa"/>
          </w:tcPr>
          <w:p w14:paraId="26A89CC2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587</w:t>
            </w:r>
          </w:p>
        </w:tc>
      </w:tr>
      <w:tr w:rsidR="00C00AAD" w:rsidRPr="00C27AA6" w14:paraId="232E2FA8" w14:textId="77777777" w:rsidTr="000B384C">
        <w:tc>
          <w:tcPr>
            <w:tcW w:w="531" w:type="dxa"/>
          </w:tcPr>
          <w:p w14:paraId="6B0FB6ED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73" w:type="dxa"/>
          </w:tcPr>
          <w:p w14:paraId="54E981C8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SMK</w:t>
            </w:r>
          </w:p>
        </w:tc>
        <w:tc>
          <w:tcPr>
            <w:tcW w:w="1193" w:type="dxa"/>
          </w:tcPr>
          <w:p w14:paraId="1D24ADD9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7AA6">
              <w:rPr>
                <w:rFonts w:ascii="Times New Roman" w:eastAsia="Calibri" w:hAnsi="Times New Roman" w:cs="Times New Roman"/>
              </w:rPr>
              <w:t>361</w:t>
            </w:r>
          </w:p>
        </w:tc>
      </w:tr>
      <w:tr w:rsidR="00C00AAD" w:rsidRPr="00C27AA6" w14:paraId="17BBF1A4" w14:textId="77777777" w:rsidTr="000B384C">
        <w:tc>
          <w:tcPr>
            <w:tcW w:w="531" w:type="dxa"/>
          </w:tcPr>
          <w:p w14:paraId="3DE700FF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3" w:type="dxa"/>
          </w:tcPr>
          <w:p w14:paraId="621DFC9E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AA6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193" w:type="dxa"/>
          </w:tcPr>
          <w:p w14:paraId="33712C44" w14:textId="77777777" w:rsidR="00C00AAD" w:rsidRPr="00C27AA6" w:rsidRDefault="00C00AAD" w:rsidP="00C27A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AA6">
              <w:rPr>
                <w:rFonts w:ascii="Times New Roman" w:eastAsia="Calibri" w:hAnsi="Times New Roman" w:cs="Times New Roman"/>
                <w:b/>
              </w:rPr>
              <w:t>6.123</w:t>
            </w:r>
          </w:p>
        </w:tc>
      </w:tr>
    </w:tbl>
    <w:p w14:paraId="6F338556" w14:textId="77777777" w:rsidR="00A55CCB" w:rsidRPr="00C27AA6" w:rsidRDefault="00A55CCB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52D641" w14:textId="77777777" w:rsidR="005E40C3" w:rsidRPr="00C27AA6" w:rsidRDefault="00C00AAD" w:rsidP="00C27AA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Untuk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menentukan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ukuran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sampel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digunakan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Rumus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Slovin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tingkat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kesalahan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sebesar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5%,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sehingga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diperoleh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hasilnya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sebesar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375 Responden. Teknik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pengambilan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sampel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menggunakan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metode Cluster Proportional Random Sampling.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Kuesioner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digunakan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untuk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mengukur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financial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knowledege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, financial behavior, dan financial attitude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modifikasi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kuesioner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OECD INFE (2011) dan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Wiharno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(2015)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Kuesioner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digunakan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untuk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mengukur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personal management)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manajemen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(personal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keuangan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financial 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modifikasi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.</w:t>
      </w:r>
      <w:proofErr w:type="spellStart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>nyamute</w:t>
      </w:r>
      <w:proofErr w:type="spellEnd"/>
      <w:proofErr w:type="gramEnd"/>
      <w:r w:rsidRPr="00C27AA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(2010).</w:t>
      </w:r>
    </w:p>
    <w:p w14:paraId="395381D5" w14:textId="5A0E42CA" w:rsidR="005E40C3" w:rsidRPr="00C27AA6" w:rsidRDefault="005E40C3" w:rsidP="00C27AA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Ada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dua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Rancangan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Data yang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yaitu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Deskriptif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verifikatif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deskriptif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mengetahui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gambaran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tentang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Daerah di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verifikatif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mencapai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tujuan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inti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yaitu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mengetahui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pengaruh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variabel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sosial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ekonomi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serta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pengaruh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variabel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personal.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verifikatif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teknik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regresi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logistik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(logistic regression). Adapun model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regresi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logistik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702537CA" w14:textId="495C8733" w:rsidR="005E40C3" w:rsidRPr="00C27AA6" w:rsidRDefault="005E40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Model 1 </w:t>
      </w:r>
    </w:p>
    <w:p w14:paraId="680A6C10" w14:textId="77777777" w:rsidR="005E40C3" w:rsidRPr="00C27AA6" w:rsidRDefault="005E40C3" w:rsidP="00C27AA6">
      <w:pPr>
        <w:pStyle w:val="NoSpacing"/>
        <w:spacing w:line="276" w:lineRule="auto"/>
        <w:rPr>
          <w:rFonts w:ascii="Times New Roman"/>
          <w:b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 xml:space="preserve">g(x) = In </w:t>
      </w:r>
      <m:oMath>
        <m:d>
          <m:dPr>
            <m:ctrlPr>
              <w:rPr>
                <w:rFonts w:ascii="Cambria Math" w:hAnsi="Cambria Math"/>
                <w:b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π(x)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1-π(x)</m:t>
                </m:r>
              </m:den>
            </m:f>
          </m:e>
        </m:d>
      </m:oMath>
    </w:p>
    <w:p w14:paraId="72E09559" w14:textId="77777777" w:rsidR="005E40C3" w:rsidRPr="000B384C" w:rsidRDefault="005E40C3" w:rsidP="00C27AA6">
      <w:pPr>
        <w:pStyle w:val="NoSpacing"/>
        <w:spacing w:line="276" w:lineRule="auto"/>
        <w:ind w:firstLine="720"/>
        <w:rPr>
          <w:rFonts w:ascii="Times New Roman"/>
          <w:b/>
          <w:position w:val="-3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ID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e</m:t>
          </m:r>
          <m:r>
            <m:rPr>
              <m:sty m:val="bi"/>
            </m:rPr>
            <w:rPr>
              <w:rFonts w:ascii="Cambria Math" w:hAnsi="Cambria Math"/>
              <w:spacing w:val="3"/>
              <w:lang w:val="en-ID"/>
            </w:rPr>
            <m:t>β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0  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G1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D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G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1 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βTP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DTP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1  </m:t>
          </m:r>
          <m:r>
            <m:rPr>
              <m:sty m:val="b"/>
            </m:rPr>
            <w:rPr>
              <w:rFonts w:ascii="Cambria Math" w:hAnsi="Cambria Math"/>
            </w:rPr>
            <m:t>+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 βU1β1U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βJT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DJT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βJT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2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DJT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βGG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DGG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βGG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2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DGG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βFK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DFK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βFB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DFB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1 </m:t>
          </m:r>
          <m:r>
            <m:rPr>
              <m:sty m:val="b"/>
            </m:rP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pacing w:val="3"/>
            </w:rPr>
            <m:t>βFA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  <m:r>
            <m:rPr>
              <m:sty m:val="b"/>
            </m:rPr>
            <w:rPr>
              <w:rFonts w:ascii="Cambria Math" w:hAnsi="Cambria Math"/>
              <w:spacing w:val="-1"/>
            </w:rPr>
            <m:t>DFA</m:t>
          </m:r>
          <m:r>
            <m:rPr>
              <m:sty m:val="b"/>
            </m:rPr>
            <w:rPr>
              <w:rFonts w:ascii="Cambria Math" w:hAnsi="Cambria Math"/>
              <w:position w:val="-3"/>
            </w:rPr>
            <m:t>1</m:t>
          </m:r>
        </m:oMath>
      </m:oMathPara>
    </w:p>
    <w:p w14:paraId="7DBB95CD" w14:textId="77777777" w:rsidR="005E40C3" w:rsidRPr="00C27AA6" w:rsidRDefault="005E40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E39CA30" w14:textId="4F4A177D" w:rsidR="005E40C3" w:rsidRPr="00C27AA6" w:rsidRDefault="005E40C3" w:rsidP="00C27AA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C27AA6">
        <w:rPr>
          <w:rFonts w:ascii="Times New Roman" w:eastAsia="Times New Roman" w:hAnsi="Times New Roman" w:cs="Times New Roman"/>
          <w:sz w:val="22"/>
          <w:szCs w:val="22"/>
        </w:rPr>
        <w:t>Dimana :</w:t>
      </w:r>
      <w:proofErr w:type="gramEnd"/>
    </w:p>
    <w:p w14:paraId="51F9C6BC" w14:textId="77777777" w:rsidR="005E40C3" w:rsidRPr="00C27AA6" w:rsidRDefault="005E40C3" w:rsidP="00C27AA6">
      <w:pPr>
        <w:pStyle w:val="NoSpacing"/>
        <w:spacing w:line="276" w:lineRule="auto"/>
        <w:ind w:left="1440" w:hanging="720"/>
        <w:rPr>
          <w:rFonts w:ascii="Times New Roman"/>
          <w:bCs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π</m:t>
        </m:r>
      </m:oMath>
      <w:r w:rsidRPr="00C27AA6">
        <w:rPr>
          <w:rFonts w:ascii="Times New Roman"/>
          <w:bCs/>
          <w:sz w:val="22"/>
          <w:szCs w:val="22"/>
        </w:rPr>
        <w:tab/>
        <w:t>= peluang bahwa responden memiliki tingkat Praktik Manajemen Keuangan Personal yang lebih tinggi (diatas rata – rata)</w:t>
      </w:r>
    </w:p>
    <w:p w14:paraId="7649FA21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G</w:t>
      </w:r>
      <w:r w:rsidRPr="00C27AA6">
        <w:rPr>
          <w:rFonts w:ascii="Times New Roman"/>
          <w:bCs/>
          <w:sz w:val="22"/>
          <w:szCs w:val="22"/>
        </w:rPr>
        <w:tab/>
        <w:t xml:space="preserve">= 1jika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laki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– </w:t>
      </w:r>
      <w:proofErr w:type="spellStart"/>
      <w:r w:rsidRPr="00C27AA6">
        <w:rPr>
          <w:rFonts w:ascii="Times New Roman"/>
          <w:bCs/>
          <w:sz w:val="22"/>
          <w:szCs w:val="22"/>
        </w:rPr>
        <w:t>laki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perempuan</w:t>
      </w:r>
      <w:proofErr w:type="spellEnd"/>
    </w:p>
    <w:p w14:paraId="0F0DAA0B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TP1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pendidikan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S2,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1A412AC3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TP2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pendidikan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S3,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5112283F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U</w:t>
      </w:r>
      <w:r w:rsidRPr="00C27AA6">
        <w:rPr>
          <w:rFonts w:ascii="Times New Roman"/>
          <w:bCs/>
          <w:sz w:val="22"/>
          <w:szCs w:val="22"/>
        </w:rPr>
        <w:tab/>
        <w:t xml:space="preserve">= </w:t>
      </w:r>
      <w:proofErr w:type="spellStart"/>
      <w:r w:rsidRPr="00C27AA6">
        <w:rPr>
          <w:rFonts w:ascii="Times New Roman"/>
          <w:bCs/>
          <w:sz w:val="22"/>
          <w:szCs w:val="22"/>
        </w:rPr>
        <w:t>Umur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</w:p>
    <w:p w14:paraId="409ED593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JT1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jumlah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tangguangan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3-4 orang,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28743654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JT2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jumlah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tangguangan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&gt;4 orang,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0D550AC3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GG1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golongan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gaji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golongan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III,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128A90F1" w14:textId="77777777" w:rsidR="005E40C3" w:rsidRPr="00C27AA6" w:rsidRDefault="005E40C3" w:rsidP="00C27AA6">
      <w:pPr>
        <w:pStyle w:val="NoSpacing"/>
        <w:spacing w:line="276" w:lineRule="auto"/>
        <w:ind w:left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GG2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golongan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gaji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golongan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IV,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68E72692" w14:textId="77777777" w:rsidR="005E40C3" w:rsidRPr="00C27AA6" w:rsidRDefault="005E40C3" w:rsidP="00C27AA6">
      <w:pPr>
        <w:pStyle w:val="NoSpacing"/>
        <w:spacing w:line="276" w:lineRule="auto"/>
        <w:ind w:left="1440" w:hanging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FK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financial </w:t>
      </w:r>
      <w:proofErr w:type="spellStart"/>
      <w:r w:rsidRPr="00C27AA6">
        <w:rPr>
          <w:rFonts w:ascii="Times New Roman"/>
          <w:bCs/>
          <w:sz w:val="22"/>
          <w:szCs w:val="22"/>
        </w:rPr>
        <w:t>Knowladge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diatas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rata – rata,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06BF91A6" w14:textId="77777777" w:rsidR="005E40C3" w:rsidRPr="00C27AA6" w:rsidRDefault="005E40C3" w:rsidP="00C27AA6">
      <w:pPr>
        <w:pStyle w:val="NoSpacing"/>
        <w:spacing w:line="276" w:lineRule="auto"/>
        <w:ind w:left="1440" w:hanging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FB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financial </w:t>
      </w:r>
      <w:proofErr w:type="gramStart"/>
      <w:r w:rsidRPr="00C27AA6">
        <w:rPr>
          <w:rFonts w:ascii="Times New Roman"/>
          <w:bCs/>
          <w:sz w:val="22"/>
          <w:szCs w:val="22"/>
        </w:rPr>
        <w:t xml:space="preserve">Behavior 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proofErr w:type="gram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diatas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rata – rata,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7E434247" w14:textId="77777777" w:rsidR="005E40C3" w:rsidRPr="00C27AA6" w:rsidRDefault="005E40C3" w:rsidP="00C27AA6">
      <w:pPr>
        <w:pStyle w:val="NoSpacing"/>
        <w:spacing w:line="276" w:lineRule="auto"/>
        <w:ind w:left="1440" w:hanging="720"/>
        <w:rPr>
          <w:rFonts w:ascii="Times New Roman"/>
          <w:bCs/>
          <w:sz w:val="22"/>
          <w:szCs w:val="22"/>
        </w:rPr>
      </w:pPr>
      <w:r w:rsidRPr="00C27AA6">
        <w:rPr>
          <w:rFonts w:ascii="Times New Roman"/>
          <w:bCs/>
          <w:sz w:val="22"/>
          <w:szCs w:val="22"/>
        </w:rPr>
        <w:t>FA</w:t>
      </w:r>
      <w:r w:rsidRPr="00C27AA6">
        <w:rPr>
          <w:rFonts w:ascii="Times New Roman"/>
          <w:bCs/>
          <w:sz w:val="22"/>
          <w:szCs w:val="22"/>
        </w:rPr>
        <w:tab/>
        <w:t xml:space="preserve">= 1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financial Attitude </w:t>
      </w:r>
      <w:proofErr w:type="spellStart"/>
      <w:r w:rsidRPr="00C27AA6">
        <w:rPr>
          <w:rFonts w:ascii="Times New Roman"/>
          <w:bCs/>
          <w:sz w:val="22"/>
          <w:szCs w:val="22"/>
        </w:rPr>
        <w:t>responden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diatas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rata – rata, 0 </w:t>
      </w:r>
      <w:proofErr w:type="spellStart"/>
      <w:r w:rsidRPr="00C27AA6">
        <w:rPr>
          <w:rFonts w:ascii="Times New Roman"/>
          <w:bCs/>
          <w:sz w:val="22"/>
          <w:szCs w:val="22"/>
        </w:rPr>
        <w:t>jika</w:t>
      </w:r>
      <w:proofErr w:type="spellEnd"/>
      <w:r w:rsidRPr="00C27AA6">
        <w:rPr>
          <w:rFonts w:ascii="Times New Roman"/>
          <w:bCs/>
          <w:sz w:val="22"/>
          <w:szCs w:val="22"/>
        </w:rPr>
        <w:t xml:space="preserve"> </w:t>
      </w:r>
      <w:proofErr w:type="spellStart"/>
      <w:r w:rsidRPr="00C27AA6">
        <w:rPr>
          <w:rFonts w:ascii="Times New Roman"/>
          <w:bCs/>
          <w:sz w:val="22"/>
          <w:szCs w:val="22"/>
        </w:rPr>
        <w:t>bukan</w:t>
      </w:r>
      <w:proofErr w:type="spellEnd"/>
    </w:p>
    <w:p w14:paraId="6873FB43" w14:textId="592F79F8" w:rsidR="005E40C3" w:rsidRPr="00C27AA6" w:rsidRDefault="005E40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HASIL DAN PEMBAHASAN</w:t>
      </w:r>
    </w:p>
    <w:p w14:paraId="0D670FA4" w14:textId="67288724" w:rsidR="005E40C3" w:rsidRPr="00C27AA6" w:rsidRDefault="00147902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Gambaran </w:t>
      </w:r>
      <w:r w:rsidR="001A3D93"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Guru PNS </w:t>
      </w:r>
      <w:proofErr w:type="spellStart"/>
      <w:r w:rsidR="001A3D93" w:rsidRPr="00C27AA6">
        <w:rPr>
          <w:rFonts w:ascii="Times New Roman" w:eastAsia="Times New Roman" w:hAnsi="Times New Roman" w:cs="Times New Roman"/>
          <w:b/>
          <w:sz w:val="22"/>
          <w:szCs w:val="22"/>
        </w:rPr>
        <w:t>berdasarkan</w:t>
      </w:r>
      <w:proofErr w:type="spellEnd"/>
      <w:r w:rsidR="001A3D93"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D56C3" w:rsidRPr="00C27AA6">
        <w:rPr>
          <w:rFonts w:ascii="Times New Roman" w:eastAsia="Times New Roman" w:hAnsi="Times New Roman" w:cs="Times New Roman"/>
          <w:b/>
          <w:sz w:val="22"/>
          <w:szCs w:val="22"/>
        </w:rPr>
        <w:t>Gender</w:t>
      </w:r>
    </w:p>
    <w:p w14:paraId="2D3FEA5A" w14:textId="49CD737A" w:rsidR="005D56C3" w:rsidRPr="00C27AA6" w:rsidRDefault="005D56C3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gender,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sebaran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terlihat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Perempuan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249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66%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perempuan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laki-laki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126 orang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34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%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69D3E6C2" w14:textId="77777777" w:rsidR="005D56C3" w:rsidRPr="00C27AA6" w:rsidRDefault="005D56C3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C199A26" w14:textId="36CC14CC" w:rsidR="005D56C3" w:rsidRPr="00C27AA6" w:rsidRDefault="005D56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Tingkat Pendidikan</w:t>
      </w:r>
    </w:p>
    <w:p w14:paraId="75A318B1" w14:textId="01489FB5" w:rsidR="005D56C3" w:rsidRPr="00C27AA6" w:rsidRDefault="005D56C3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Pendidikan,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</w:t>
      </w:r>
      <w:r w:rsidRPr="00C27AA6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3</w:t>
      </w:r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/ S</w:t>
      </w:r>
      <w:r w:rsidRPr="00C27AA6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344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91,73 %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</w:t>
      </w:r>
      <w:r w:rsidRPr="00C27AA6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3 </w:t>
      </w:r>
      <w:r w:rsidRPr="00C27AA6">
        <w:rPr>
          <w:rFonts w:ascii="Times New Roman" w:hAnsi="Times New Roman" w:cs="Times New Roman"/>
          <w:sz w:val="22"/>
          <w:szCs w:val="22"/>
          <w:lang w:val="en-US"/>
        </w:rPr>
        <w:t>/S</w:t>
      </w:r>
      <w:r w:rsidRPr="00C27AA6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  <w:r w:rsidRPr="00C27AA6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2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31 orang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8,27 %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A23A690" w14:textId="77777777" w:rsidR="005D56C3" w:rsidRPr="00C27AA6" w:rsidRDefault="005D56C3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F406ACA" w14:textId="640EB04E" w:rsidR="005D56C3" w:rsidRPr="00C27AA6" w:rsidRDefault="005D56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Usia</w:t>
      </w:r>
    </w:p>
    <w:p w14:paraId="434F9920" w14:textId="16315D21" w:rsidR="005D56C3" w:rsidRPr="00C27AA6" w:rsidRDefault="005D56C3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berusia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&lt; 40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191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50,93%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berusia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&lt; 40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berusia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&gt; 40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184 orang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49,07%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ECE780D" w14:textId="77777777" w:rsidR="002E56A5" w:rsidRPr="00C27AA6" w:rsidRDefault="002E56A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2C06195" w14:textId="51E08C59" w:rsidR="005D56C3" w:rsidRPr="00C27AA6" w:rsidRDefault="005D56C3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E56A5" w:rsidRPr="00C27AA6">
        <w:rPr>
          <w:rFonts w:ascii="Times New Roman" w:eastAsia="Times New Roman" w:hAnsi="Times New Roman" w:cs="Times New Roman"/>
          <w:b/>
          <w:sz w:val="22"/>
          <w:szCs w:val="22"/>
        </w:rPr>
        <w:t>Jumlah Tanggungan</w:t>
      </w:r>
    </w:p>
    <w:p w14:paraId="425338E2" w14:textId="0048E742" w:rsidR="002E56A5" w:rsidRPr="00C27AA6" w:rsidRDefault="002E56A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213 guru PNS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0-2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56,8%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0-2 orang.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152 guru PNS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3-4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40,53%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3-4 orang.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10 guru PNS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&gt; 4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kata lain 2,67%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keluarga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&gt; 4 orang.</w:t>
      </w:r>
    </w:p>
    <w:p w14:paraId="07DC85E7" w14:textId="77777777" w:rsidR="002E56A5" w:rsidRPr="00C27AA6" w:rsidRDefault="002E56A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B2B3FA1" w14:textId="2C9C3924" w:rsidR="002E56A5" w:rsidRPr="00C27AA6" w:rsidRDefault="002E56A5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sz w:val="22"/>
          <w:szCs w:val="22"/>
        </w:rPr>
        <w:t xml:space="preserve"> Golongan Gaji</w:t>
      </w:r>
    </w:p>
    <w:p w14:paraId="46E68C01" w14:textId="609388E3" w:rsidR="002E56A5" w:rsidRPr="00C27AA6" w:rsidRDefault="002E56A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Golongan Gaji,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III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223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59,47%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IV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107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28,53%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II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sebanyak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45 orang,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setara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12%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total 375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6F75FDB" w14:textId="77777777" w:rsidR="00093546" w:rsidRPr="00C27AA6" w:rsidRDefault="00093546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469DE54" w14:textId="6C0B58E9" w:rsidR="002E56A5" w:rsidRPr="00C27AA6" w:rsidRDefault="00093546" w:rsidP="00C27AA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b/>
          <w:sz w:val="22"/>
          <w:szCs w:val="22"/>
          <w:lang w:val="en-US"/>
        </w:rPr>
        <w:t xml:space="preserve">Gambaran </w:t>
      </w:r>
      <w:proofErr w:type="spellStart"/>
      <w:r w:rsidRPr="00C27AA6">
        <w:rPr>
          <w:rFonts w:ascii="Times New Roman" w:hAnsi="Times New Roman" w:cs="Times New Roman"/>
          <w:b/>
          <w:sz w:val="22"/>
          <w:szCs w:val="22"/>
          <w:lang w:val="en-US"/>
        </w:rPr>
        <w:t>Literasi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Keuangan</w:t>
      </w:r>
    </w:p>
    <w:p w14:paraId="2C27D56B" w14:textId="2BCF3A74" w:rsidR="00093546" w:rsidRPr="00C27AA6" w:rsidRDefault="00093546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meliputi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knowledge (X6), financial behavior (X7), dan financial attitude (X8).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diukur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skor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jawaban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survey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instrumen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kuesioner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deskripsi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variabelnya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Kecenderungan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jawaban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terhadap masing-masing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nilai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skor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rata-rata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dikategorikan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rentang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skor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perhitungan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three box method (Ferdinand, 2014).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interprestasi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perhitungan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batas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terendah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batas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dan interval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skor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diperoleh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berapa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rentang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rendah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sedang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</w:p>
    <w:p w14:paraId="48024E94" w14:textId="77777777" w:rsidR="00093546" w:rsidRPr="00C27AA6" w:rsidRDefault="00093546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F333CAC" w14:textId="77777777" w:rsidR="00093546" w:rsidRPr="00C27AA6" w:rsidRDefault="00093546" w:rsidP="00C27AA6">
      <w:pPr>
        <w:pStyle w:val="ListParagraph"/>
        <w:spacing w:line="276" w:lineRule="auto"/>
        <w:ind w:left="993" w:hanging="993"/>
        <w:jc w:val="center"/>
        <w:rPr>
          <w:rFonts w:eastAsiaTheme="minorEastAsia"/>
          <w:sz w:val="22"/>
          <w:szCs w:val="22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2"/>
              <w:szCs w:val="22"/>
            </w:rPr>
            <m:t xml:space="preserve">Batas </m:t>
          </m:r>
          <w:proofErr w:type="spellStart"/>
          <m:r>
            <m:rPr>
              <m:nor/>
            </m:rPr>
            <w:rPr>
              <w:sz w:val="22"/>
              <w:szCs w:val="22"/>
            </w:rPr>
            <m:t>Terendah</m:t>
          </m:r>
          <w:proofErr w:type="spellEnd"/>
          <m:r>
            <m:rPr>
              <m:nor/>
            </m:rPr>
            <w:rPr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 xml:space="preserve">Responden ×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Rentang</m:t>
              </m:r>
              <w:proofErr w:type="spellEnd"/>
              <m:r>
                <m:rPr>
                  <m:nor/>
                </m:rPr>
                <w:rPr>
                  <w:sz w:val="22"/>
                  <w:szCs w:val="22"/>
                </w:rPr>
                <m:t xml:space="preserve"> Nilai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Terendah</m:t>
              </m:r>
              <w:proofErr w:type="spellEnd"/>
            </m:num>
            <m:den>
              <m:r>
                <m:rPr>
                  <m:nor/>
                </m:rPr>
                <w:rPr>
                  <w:sz w:val="22"/>
                  <w:szCs w:val="22"/>
                </w:rPr>
                <m:t xml:space="preserve">Total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Rentang</m:t>
              </m:r>
              <w:proofErr w:type="spellEnd"/>
              <m:r>
                <m:rPr>
                  <m:nor/>
                </m:rPr>
                <w:rPr>
                  <w:sz w:val="22"/>
                  <w:szCs w:val="22"/>
                </w:rPr>
                <m:t xml:space="preserve"> Nilai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375×1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=93,75</m:t>
          </m:r>
        </m:oMath>
      </m:oMathPara>
    </w:p>
    <w:p w14:paraId="3BAB3AF2" w14:textId="77777777" w:rsidR="00093546" w:rsidRPr="00C27AA6" w:rsidRDefault="00093546" w:rsidP="00C27AA6">
      <w:pPr>
        <w:pStyle w:val="ListParagraph"/>
        <w:spacing w:line="276" w:lineRule="auto"/>
        <w:ind w:left="993" w:hanging="993"/>
        <w:jc w:val="center"/>
        <w:rPr>
          <w:rFonts w:eastAsiaTheme="minorEastAsia"/>
          <w:sz w:val="22"/>
          <w:szCs w:val="22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2"/>
              <w:szCs w:val="22"/>
            </w:rPr>
            <m:t xml:space="preserve">Batas </m:t>
          </m:r>
          <w:proofErr w:type="spellStart"/>
          <m:r>
            <m:rPr>
              <m:nor/>
            </m:rPr>
            <w:rPr>
              <w:sz w:val="22"/>
              <w:szCs w:val="22"/>
            </w:rPr>
            <m:t>Tetinggi</m:t>
          </m:r>
          <w:proofErr w:type="spellEnd"/>
          <m:r>
            <m:rPr>
              <m:nor/>
            </m:rPr>
            <w:rPr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 xml:space="preserve">Responden ×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Rentang</m:t>
              </m:r>
              <w:proofErr w:type="spellEnd"/>
              <m:r>
                <m:rPr>
                  <m:nor/>
                </m:rPr>
                <w:rPr>
                  <w:sz w:val="22"/>
                  <w:szCs w:val="22"/>
                </w:rPr>
                <m:t xml:space="preserve"> Nilai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Tertinggi</m:t>
              </m:r>
              <w:proofErr w:type="spellEnd"/>
            </m:num>
            <m:den>
              <m:r>
                <m:rPr>
                  <m:nor/>
                </m:rPr>
                <w:rPr>
                  <w:sz w:val="22"/>
                  <w:szCs w:val="22"/>
                </w:rPr>
                <m:t xml:space="preserve">Total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Rentang</m:t>
              </m:r>
              <w:proofErr w:type="spellEnd"/>
              <m:r>
                <m:rPr>
                  <m:nor/>
                </m:rPr>
                <w:rPr>
                  <w:sz w:val="22"/>
                  <w:szCs w:val="22"/>
                </w:rPr>
                <m:t xml:space="preserve"> Nilai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375×4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=375</m:t>
          </m:r>
        </m:oMath>
      </m:oMathPara>
    </w:p>
    <w:p w14:paraId="3301330D" w14:textId="77777777" w:rsidR="00093546" w:rsidRPr="00C27AA6" w:rsidRDefault="00093546" w:rsidP="00C27AA6">
      <w:pPr>
        <w:pStyle w:val="ListParagraph"/>
        <w:spacing w:line="276" w:lineRule="auto"/>
        <w:ind w:left="993"/>
        <w:jc w:val="center"/>
        <w:rPr>
          <w:rFonts w:eastAsiaTheme="minorEastAsia"/>
          <w:sz w:val="22"/>
          <w:szCs w:val="22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2"/>
              <w:szCs w:val="22"/>
            </w:rPr>
            <m:t xml:space="preserve">Interval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</w:rPr>
                <m:t xml:space="preserve">Indeks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Tertinggi</m:t>
              </m:r>
              <w:proofErr w:type="spellEnd"/>
              <m:r>
                <m:rPr>
                  <m:nor/>
                </m:rPr>
                <w:rPr>
                  <w:sz w:val="22"/>
                  <w:szCs w:val="22"/>
                </w:rPr>
                <m:t xml:space="preserve"> - Indeks </m:t>
              </m:r>
              <w:proofErr w:type="spellStart"/>
              <m:r>
                <m:rPr>
                  <m:nor/>
                </m:rPr>
                <w:rPr>
                  <w:sz w:val="22"/>
                  <w:szCs w:val="22"/>
                </w:rPr>
                <m:t>Terendah</m:t>
              </m:r>
              <w:proofErr w:type="spellEnd"/>
            </m:num>
            <m:den>
              <m:r>
                <m:rPr>
                  <m:nor/>
                </m:rPr>
                <w:rPr>
                  <w:sz w:val="22"/>
                  <w:szCs w:val="22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375-93,75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=93,75</m:t>
          </m:r>
        </m:oMath>
      </m:oMathPara>
    </w:p>
    <w:p w14:paraId="155E9A49" w14:textId="7BDF7709" w:rsidR="002E56A5" w:rsidRPr="00C27AA6" w:rsidRDefault="002E56A5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611BF26" w14:textId="07349330" w:rsidR="003D11E7" w:rsidRPr="00C27AA6" w:rsidRDefault="0067517C" w:rsidP="00C27AA6">
      <w:pPr>
        <w:pStyle w:val="Heading4"/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3D11E7" w:rsidRPr="00C27AA6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Financial Knowledge</w:t>
      </w:r>
    </w:p>
    <w:p w14:paraId="06FF4E77" w14:textId="270F39A8" w:rsidR="003D11E7" w:rsidRPr="00C27AA6" w:rsidRDefault="003D11E7" w:rsidP="00C27AA6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Tabel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6D39">
        <w:rPr>
          <w:rFonts w:ascii="Times New Roman" w:hAnsi="Times New Roman" w:cs="Times New Roman"/>
          <w:b/>
          <w:sz w:val="22"/>
          <w:szCs w:val="22"/>
        </w:rPr>
        <w:t>2</w:t>
      </w:r>
      <w:r w:rsidRPr="00C27AA6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Indes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Financial Knowledge</w:t>
      </w:r>
    </w:p>
    <w:p w14:paraId="1BD53DEC" w14:textId="20B46679" w:rsidR="003D11E7" w:rsidRPr="00C27AA6" w:rsidRDefault="00966D39" w:rsidP="00C27AA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6D39">
        <w:rPr>
          <w:rFonts w:ascii="Times New Roman" w:hAnsi="Times New Roman" w:cs="Times New Roman"/>
          <w:sz w:val="22"/>
          <w:szCs w:val="22"/>
        </w:rPr>
        <w:drawing>
          <wp:inline distT="0" distB="0" distL="0" distR="0" wp14:anchorId="43CBE12F" wp14:editId="48D4481F">
            <wp:extent cx="2474595" cy="2898140"/>
            <wp:effectExtent l="0" t="0" r="190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E64D" w14:textId="77777777" w:rsidR="003D11E7" w:rsidRPr="00C27AA6" w:rsidRDefault="003D11E7" w:rsidP="00C27AA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AAC17C" w14:textId="436FAB94" w:rsidR="003D11E7" w:rsidRPr="00C27AA6" w:rsidRDefault="003D11E7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Knowledge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terlihat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rata-rata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knowledge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menunjukkan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308,25.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kriteria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knowledge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knowledge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13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367,25. Angka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13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mengukur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salah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keuntungan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berinvestasi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saham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dividen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dimana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359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setuju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dikatakan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pengatahuan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dividen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saham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E161F57" w14:textId="77777777" w:rsidR="003D11E7" w:rsidRPr="00C27AA6" w:rsidRDefault="003D11E7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A0CCC97" w14:textId="470C4400" w:rsidR="003D11E7" w:rsidRPr="00C27AA6" w:rsidRDefault="003D11E7" w:rsidP="00C27AA6">
      <w:pPr>
        <w:pStyle w:val="Heading4"/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C27AA6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Financial </w:t>
      </w:r>
      <w:proofErr w:type="spellStart"/>
      <w:r w:rsidRPr="00C27AA6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Behavior</w:t>
      </w:r>
      <w:proofErr w:type="spellEnd"/>
    </w:p>
    <w:p w14:paraId="5811BD82" w14:textId="3CD70D3E" w:rsidR="003D11E7" w:rsidRPr="00C27AA6" w:rsidRDefault="003D11E7" w:rsidP="00C27AA6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Tabel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6D39">
        <w:rPr>
          <w:rFonts w:ascii="Times New Roman" w:hAnsi="Times New Roman" w:cs="Times New Roman"/>
          <w:b/>
          <w:sz w:val="22"/>
          <w:szCs w:val="22"/>
        </w:rPr>
        <w:t>3</w:t>
      </w:r>
      <w:r w:rsidRPr="00C27AA6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Indes</w:t>
      </w:r>
      <w:proofErr w:type="spellEnd"/>
      <w:r w:rsidRPr="00C27AA6">
        <w:rPr>
          <w:rFonts w:ascii="Times New Roman" w:hAnsi="Times New Roman" w:cs="Times New Roman"/>
          <w:b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b/>
          <w:sz w:val="22"/>
          <w:szCs w:val="22"/>
        </w:rPr>
        <w:t>Behavior</w:t>
      </w:r>
      <w:proofErr w:type="spellEnd"/>
    </w:p>
    <w:p w14:paraId="012E6F62" w14:textId="7C3820D0" w:rsidR="0067517C" w:rsidRPr="00C27AA6" w:rsidRDefault="00966D39" w:rsidP="00C27A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66D39">
        <w:rPr>
          <w:rFonts w:ascii="Times New Roman" w:eastAsia="Times New Roman" w:hAnsi="Times New Roman" w:cs="Times New Roman"/>
          <w:b/>
          <w:sz w:val="22"/>
          <w:szCs w:val="22"/>
        </w:rPr>
        <w:drawing>
          <wp:inline distT="0" distB="0" distL="0" distR="0" wp14:anchorId="104FC660" wp14:editId="5AE31109">
            <wp:extent cx="2289371" cy="78486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289" cy="78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8786" w14:textId="77777777" w:rsidR="005D56C3" w:rsidRPr="00C27AA6" w:rsidRDefault="005D56C3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E469858" w14:textId="3DEEC517" w:rsidR="005D56C3" w:rsidRPr="00C27AA6" w:rsidRDefault="003D11E7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Tabel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terlihat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rata-rata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behavior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menunjukkan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304,625.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kriteria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behavior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behavior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347,75. Angka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mengukur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perilaku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mengutamakan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kebutuhan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daripada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dimana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275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setuju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dikatakan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perilaku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mengutamakan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kebutuhan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daripada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6DF78C2" w14:textId="072B4B2E" w:rsidR="003D11E7" w:rsidRPr="00C27AA6" w:rsidRDefault="003D11E7" w:rsidP="00C27AA6">
      <w:pPr>
        <w:pStyle w:val="Heading4"/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Pr="00C27AA6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Financial Attitude</w:t>
      </w:r>
    </w:p>
    <w:p w14:paraId="1628690B" w14:textId="21F14430" w:rsidR="003D11E7" w:rsidRPr="00966D39" w:rsidRDefault="003D11E7" w:rsidP="00C27AA6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66D39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966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6D39">
        <w:rPr>
          <w:rFonts w:ascii="Times New Roman" w:hAnsi="Times New Roman" w:cs="Times New Roman"/>
          <w:b/>
          <w:sz w:val="20"/>
          <w:szCs w:val="20"/>
        </w:rPr>
        <w:t>4</w:t>
      </w:r>
      <w:r w:rsidRPr="00966D3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966D39">
        <w:rPr>
          <w:rFonts w:ascii="Times New Roman" w:hAnsi="Times New Roman" w:cs="Times New Roman"/>
          <w:b/>
          <w:sz w:val="20"/>
          <w:szCs w:val="20"/>
        </w:rPr>
        <w:t>Indes</w:t>
      </w:r>
      <w:proofErr w:type="spellEnd"/>
      <w:r w:rsidRPr="00966D39">
        <w:rPr>
          <w:rFonts w:ascii="Times New Roman" w:hAnsi="Times New Roman" w:cs="Times New Roman"/>
          <w:b/>
          <w:sz w:val="20"/>
          <w:szCs w:val="20"/>
        </w:rPr>
        <w:t xml:space="preserve"> Financial Attitude</w:t>
      </w:r>
    </w:p>
    <w:p w14:paraId="2A86F7DC" w14:textId="09AAB1B4" w:rsidR="003D11E7" w:rsidRPr="00C27AA6" w:rsidRDefault="00966D39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66D39">
        <w:rPr>
          <w:rFonts w:ascii="Times New Roman" w:hAnsi="Times New Roman" w:cs="Times New Roman"/>
          <w:sz w:val="22"/>
          <w:szCs w:val="22"/>
          <w:lang w:val="en-US"/>
        </w:rPr>
        <w:drawing>
          <wp:inline distT="0" distB="0" distL="0" distR="0" wp14:anchorId="74700374" wp14:editId="650021F3">
            <wp:extent cx="2474595" cy="1106170"/>
            <wp:effectExtent l="0" t="0" r="1905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2A32" w14:textId="77777777" w:rsidR="005D56C3" w:rsidRPr="00C27AA6" w:rsidRDefault="005D56C3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C8BC4B" w14:textId="15F98D99" w:rsidR="003D11E7" w:rsidRPr="00C27AA6" w:rsidRDefault="00621635" w:rsidP="006216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erlihat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rata-rata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attitude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menunjukkan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175,94.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kriteria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rendah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namun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variabel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attitude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negatif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rendahnya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menunjukkan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positif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artinya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attitude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financial attitude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terbesar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indeks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192,75. Angka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termasuk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kategori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rendah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Indikator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ke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mengukur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sikap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membelanjakan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uang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dimilikinya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saat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dimana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51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sangat tidak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setuju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253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responden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tidak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setuju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dikatakan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sebagian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besar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guru PNS di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Kuningan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sikap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tidak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membelanjakan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uang yang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dimilikinya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saat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3D11E7" w:rsidRPr="00C27AA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7E4F7EC" w14:textId="786CE731" w:rsidR="003D11E7" w:rsidRPr="00C27AA6" w:rsidRDefault="003D11E7" w:rsidP="00C27AA6">
      <w:pPr>
        <w:pStyle w:val="Heading4"/>
        <w:spacing w:line="276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Gambaran Guru PNS </w:t>
      </w:r>
      <w:proofErr w:type="spellStart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berdasarkan</w:t>
      </w:r>
      <w:proofErr w:type="spellEnd"/>
      <w:r w:rsidRPr="00C27AA6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D57B56" w:rsidRPr="00C27AA6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Praktik Manajemen Keuangan Personal</w:t>
      </w:r>
    </w:p>
    <w:p w14:paraId="1A3A412A" w14:textId="7E0F532D" w:rsidR="003D11E7" w:rsidRPr="00621635" w:rsidRDefault="003D11E7" w:rsidP="00C27AA6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21635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6216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635" w:rsidRPr="00621635">
        <w:rPr>
          <w:rFonts w:ascii="Times New Roman" w:hAnsi="Times New Roman" w:cs="Times New Roman"/>
          <w:b/>
          <w:sz w:val="20"/>
          <w:szCs w:val="20"/>
        </w:rPr>
        <w:t>5</w:t>
      </w:r>
      <w:r w:rsidRPr="0062163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621635">
        <w:rPr>
          <w:rFonts w:ascii="Times New Roman" w:hAnsi="Times New Roman" w:cs="Times New Roman"/>
          <w:b/>
          <w:sz w:val="20"/>
          <w:szCs w:val="20"/>
        </w:rPr>
        <w:t>Indes</w:t>
      </w:r>
      <w:proofErr w:type="spellEnd"/>
      <w:r w:rsidRPr="006216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B56" w:rsidRPr="006216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Praktik Manajemen Keuangan</w:t>
      </w:r>
      <w:r w:rsidR="00D57B56" w:rsidRPr="006216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D57B56" w:rsidRPr="006216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Personal</w:t>
      </w:r>
    </w:p>
    <w:p w14:paraId="4BD19F29" w14:textId="43AD9B5A" w:rsidR="00C00AAD" w:rsidRPr="00C27AA6" w:rsidRDefault="00621635" w:rsidP="00C27AA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621635">
        <w:rPr>
          <w:rFonts w:ascii="Times New Roman" w:eastAsia="Calibri" w:hAnsi="Times New Roman" w:cs="Times New Roman"/>
          <w:sz w:val="22"/>
          <w:szCs w:val="22"/>
          <w:lang w:val="en-US"/>
        </w:rPr>
        <w:drawing>
          <wp:inline distT="0" distB="0" distL="0" distR="0" wp14:anchorId="762D9473" wp14:editId="382750C5">
            <wp:extent cx="2400300" cy="416003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79" cy="419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CB43" w14:textId="0DFC37D0" w:rsidR="00D57B56" w:rsidRPr="00C27AA6" w:rsidRDefault="00D57B56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5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terlihat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256,27.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kriteria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sedang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kalangan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belum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Indikator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angka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terbesar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indikator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indeks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324,25. Angka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termasuk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kategori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 Indikator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mengukur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penyisihan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uang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kebutuhan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keinginan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masa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dimana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196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setuju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176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setuju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sebagian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sudah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penyisihan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uang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kebutuhan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atau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keinginan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masa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0B5AEDD5" w14:textId="71C0C8FD" w:rsidR="00D57B56" w:rsidRPr="00C27AA6" w:rsidRDefault="00D57B56" w:rsidP="00C27AA6">
      <w:pPr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proofErr w:type="spellStart"/>
      <w:r w:rsidRPr="00C27AA6">
        <w:rPr>
          <w:rFonts w:ascii="Times New Roman" w:eastAsia="Calibri" w:hAnsi="Times New Roman" w:cs="Times New Roman"/>
          <w:b/>
          <w:sz w:val="22"/>
          <w:szCs w:val="22"/>
          <w:lang w:val="en-US"/>
        </w:rPr>
        <w:t>Pengujian</w:t>
      </w:r>
      <w:proofErr w:type="spellEnd"/>
      <w:r w:rsidRPr="00C27AA6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eastAsia="Calibri" w:hAnsi="Times New Roman" w:cs="Times New Roman"/>
          <w:b/>
          <w:sz w:val="22"/>
          <w:szCs w:val="22"/>
          <w:lang w:val="en-US"/>
        </w:rPr>
        <w:t>Hipotesis</w:t>
      </w:r>
      <w:proofErr w:type="spellEnd"/>
    </w:p>
    <w:p w14:paraId="7E28CD5A" w14:textId="77777777" w:rsidR="00D57B56" w:rsidRPr="00C27AA6" w:rsidRDefault="00D57B56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Pengujian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Simultan</w:t>
      </w:r>
      <w:proofErr w:type="spellEnd"/>
    </w:p>
    <w:p w14:paraId="0EFBDE3F" w14:textId="2C802486" w:rsidR="00B5782F" w:rsidRPr="00C27AA6" w:rsidRDefault="00B5782F" w:rsidP="00621635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Pengujian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parameter model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regresi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logistik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simultan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likelihood ratio test. </w:t>
      </w:r>
    </w:p>
    <w:p w14:paraId="3F7A4A97" w14:textId="63C4C664" w:rsidR="00B5782F" w:rsidRPr="00C27AA6" w:rsidRDefault="00B5782F" w:rsidP="00C27AA6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27AA6">
        <w:rPr>
          <w:rFonts w:ascii="Times New Roman" w:hAnsi="Times New Roman" w:cs="Times New Roman"/>
          <w:iCs/>
          <w:sz w:val="22"/>
          <w:szCs w:val="22"/>
        </w:rPr>
        <w:t xml:space="preserve">Hasil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pengolahan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data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menunjukkan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output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sebagai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berikut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>:</w:t>
      </w:r>
    </w:p>
    <w:p w14:paraId="518C6BD4" w14:textId="77777777" w:rsidR="00B5782F" w:rsidRPr="00C27AA6" w:rsidRDefault="00B5782F" w:rsidP="00C27AA6">
      <w:pPr>
        <w:pStyle w:val="ListParagraph"/>
        <w:spacing w:line="276" w:lineRule="auto"/>
        <w:ind w:left="840" w:firstLine="153"/>
        <w:jc w:val="both"/>
        <w:rPr>
          <w:iCs/>
          <w:sz w:val="22"/>
          <w:szCs w:val="22"/>
        </w:rPr>
      </w:pPr>
    </w:p>
    <w:p w14:paraId="107C3F01" w14:textId="15D521D8" w:rsidR="00B5782F" w:rsidRPr="00C27AA6" w:rsidRDefault="00B5782F" w:rsidP="00C27AA6">
      <w:pPr>
        <w:pStyle w:val="ListParagraph"/>
        <w:spacing w:line="276" w:lineRule="auto"/>
        <w:ind w:left="0"/>
        <w:rPr>
          <w:b/>
          <w:bCs/>
          <w:iCs/>
          <w:sz w:val="22"/>
          <w:szCs w:val="22"/>
        </w:rPr>
      </w:pPr>
      <w:proofErr w:type="spellStart"/>
      <w:r w:rsidRPr="00C27AA6">
        <w:rPr>
          <w:b/>
          <w:bCs/>
          <w:iCs/>
          <w:sz w:val="22"/>
          <w:szCs w:val="22"/>
        </w:rPr>
        <w:t>Tabel</w:t>
      </w:r>
      <w:proofErr w:type="spellEnd"/>
      <w:r w:rsidRPr="00C27AA6">
        <w:rPr>
          <w:b/>
          <w:bCs/>
          <w:iCs/>
          <w:sz w:val="22"/>
          <w:szCs w:val="22"/>
        </w:rPr>
        <w:t xml:space="preserve"> </w:t>
      </w:r>
      <w:r w:rsidR="00621635">
        <w:rPr>
          <w:b/>
          <w:bCs/>
          <w:iCs/>
          <w:sz w:val="22"/>
          <w:szCs w:val="22"/>
        </w:rPr>
        <w:t>6</w:t>
      </w:r>
      <w:r w:rsidRPr="00C27AA6">
        <w:rPr>
          <w:b/>
          <w:bCs/>
          <w:iCs/>
          <w:sz w:val="22"/>
          <w:szCs w:val="22"/>
        </w:rPr>
        <w:t xml:space="preserve">. Hasil </w:t>
      </w:r>
      <w:proofErr w:type="spellStart"/>
      <w:r w:rsidRPr="00C27AA6">
        <w:rPr>
          <w:b/>
          <w:bCs/>
          <w:iCs/>
          <w:sz w:val="22"/>
          <w:szCs w:val="22"/>
        </w:rPr>
        <w:t>Pengujian</w:t>
      </w:r>
      <w:proofErr w:type="spellEnd"/>
      <w:r w:rsidRPr="00C27AA6">
        <w:rPr>
          <w:b/>
          <w:bCs/>
          <w:iCs/>
          <w:sz w:val="22"/>
          <w:szCs w:val="22"/>
        </w:rPr>
        <w:t xml:space="preserve"> </w:t>
      </w:r>
      <w:proofErr w:type="spellStart"/>
      <w:r w:rsidRPr="00C27AA6">
        <w:rPr>
          <w:b/>
          <w:bCs/>
          <w:iCs/>
          <w:sz w:val="22"/>
          <w:szCs w:val="22"/>
        </w:rPr>
        <w:t>Secara</w:t>
      </w:r>
      <w:proofErr w:type="spellEnd"/>
      <w:r w:rsidRPr="00C27AA6">
        <w:rPr>
          <w:b/>
          <w:bCs/>
          <w:iCs/>
          <w:sz w:val="22"/>
          <w:szCs w:val="22"/>
        </w:rPr>
        <w:t xml:space="preserve"> </w:t>
      </w:r>
      <w:proofErr w:type="spellStart"/>
      <w:r w:rsidRPr="00C27AA6">
        <w:rPr>
          <w:b/>
          <w:bCs/>
          <w:iCs/>
          <w:sz w:val="22"/>
          <w:szCs w:val="22"/>
        </w:rPr>
        <w:t>Simultan</w:t>
      </w:r>
      <w:proofErr w:type="spellEnd"/>
    </w:p>
    <w:p w14:paraId="02D6A486" w14:textId="77777777" w:rsidR="00B5782F" w:rsidRPr="00C27AA6" w:rsidRDefault="00B5782F" w:rsidP="00C27AA6">
      <w:pPr>
        <w:pStyle w:val="ListParagraph"/>
        <w:spacing w:line="276" w:lineRule="auto"/>
        <w:ind w:left="0"/>
        <w:rPr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Ind w:w="1063" w:type="dxa"/>
        <w:tblLook w:val="04A0" w:firstRow="1" w:lastRow="0" w:firstColumn="1" w:lastColumn="0" w:noHBand="0" w:noVBand="1"/>
      </w:tblPr>
      <w:tblGrid>
        <w:gridCol w:w="998"/>
        <w:gridCol w:w="788"/>
        <w:gridCol w:w="392"/>
        <w:gridCol w:w="646"/>
      </w:tblGrid>
      <w:tr w:rsidR="00B5782F" w:rsidRPr="00C27AA6" w14:paraId="4CB534B3" w14:textId="77777777" w:rsidTr="00A5481B">
        <w:tc>
          <w:tcPr>
            <w:tcW w:w="2122" w:type="dxa"/>
          </w:tcPr>
          <w:p w14:paraId="23D64C8C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i/>
              </w:rPr>
            </w:pPr>
            <w:r w:rsidRPr="00C27AA6">
              <w:rPr>
                <w:b/>
                <w:bCs/>
                <w:i/>
              </w:rPr>
              <w:t>Log-Likelihood</w:t>
            </w:r>
          </w:p>
        </w:tc>
        <w:tc>
          <w:tcPr>
            <w:tcW w:w="1842" w:type="dxa"/>
          </w:tcPr>
          <w:p w14:paraId="6F436408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i/>
              </w:rPr>
            </w:pPr>
            <w:r w:rsidRPr="00C27AA6">
              <w:rPr>
                <w:b/>
                <w:bCs/>
                <w:i/>
              </w:rPr>
              <w:t>G</w:t>
            </w:r>
          </w:p>
        </w:tc>
        <w:tc>
          <w:tcPr>
            <w:tcW w:w="851" w:type="dxa"/>
          </w:tcPr>
          <w:p w14:paraId="07618A8F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i/>
              </w:rPr>
            </w:pPr>
            <w:proofErr w:type="spellStart"/>
            <w:r w:rsidRPr="00C27AA6">
              <w:rPr>
                <w:b/>
                <w:bCs/>
                <w:i/>
              </w:rPr>
              <w:t>df</w:t>
            </w:r>
            <w:proofErr w:type="spellEnd"/>
          </w:p>
        </w:tc>
        <w:tc>
          <w:tcPr>
            <w:tcW w:w="1417" w:type="dxa"/>
          </w:tcPr>
          <w:p w14:paraId="440D48F8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i/>
              </w:rPr>
            </w:pPr>
            <w:r w:rsidRPr="00C27AA6">
              <w:rPr>
                <w:b/>
                <w:bCs/>
                <w:i/>
              </w:rPr>
              <w:t>P-Value</w:t>
            </w:r>
          </w:p>
        </w:tc>
      </w:tr>
      <w:tr w:rsidR="00B5782F" w:rsidRPr="00C27AA6" w14:paraId="0F87B953" w14:textId="77777777" w:rsidTr="00A5481B">
        <w:tc>
          <w:tcPr>
            <w:tcW w:w="2122" w:type="dxa"/>
          </w:tcPr>
          <w:p w14:paraId="5EB3925D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iCs/>
              </w:rPr>
            </w:pPr>
            <w:r w:rsidRPr="00C27AA6">
              <w:rPr>
                <w:iCs/>
              </w:rPr>
              <w:t>-194,493</w:t>
            </w:r>
          </w:p>
        </w:tc>
        <w:tc>
          <w:tcPr>
            <w:tcW w:w="1842" w:type="dxa"/>
          </w:tcPr>
          <w:p w14:paraId="2A02E3BC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iCs/>
              </w:rPr>
            </w:pPr>
            <w:r w:rsidRPr="00C27AA6">
              <w:rPr>
                <w:iCs/>
              </w:rPr>
              <w:t>128,309</w:t>
            </w:r>
          </w:p>
        </w:tc>
        <w:tc>
          <w:tcPr>
            <w:tcW w:w="851" w:type="dxa"/>
          </w:tcPr>
          <w:p w14:paraId="4BE776FE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iCs/>
              </w:rPr>
            </w:pPr>
            <w:r w:rsidRPr="00C27AA6">
              <w:rPr>
                <w:iCs/>
              </w:rPr>
              <w:t>10</w:t>
            </w:r>
          </w:p>
        </w:tc>
        <w:tc>
          <w:tcPr>
            <w:tcW w:w="1417" w:type="dxa"/>
          </w:tcPr>
          <w:p w14:paraId="09CCC3FF" w14:textId="77777777" w:rsidR="00B5782F" w:rsidRPr="00C27AA6" w:rsidRDefault="00B5782F" w:rsidP="00C27AA6">
            <w:pPr>
              <w:pStyle w:val="ListParagraph"/>
              <w:spacing w:line="276" w:lineRule="auto"/>
              <w:ind w:left="0"/>
              <w:jc w:val="center"/>
              <w:rPr>
                <w:iCs/>
              </w:rPr>
            </w:pPr>
            <w:r w:rsidRPr="00C27AA6">
              <w:rPr>
                <w:iCs/>
              </w:rPr>
              <w:t>0,000</w:t>
            </w:r>
          </w:p>
        </w:tc>
      </w:tr>
    </w:tbl>
    <w:p w14:paraId="50E1FDF5" w14:textId="77777777" w:rsidR="00B5782F" w:rsidRPr="00C27AA6" w:rsidRDefault="00B5782F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4224397" w14:textId="0F9B38E2" w:rsidR="00B5782F" w:rsidRPr="00C27AA6" w:rsidRDefault="00B5782F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Tabel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4.11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diperoleh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p-value = 0,000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kecil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α</m:t>
        </m:r>
      </m:oMath>
      <w:r w:rsidRPr="00C27AA6">
        <w:rPr>
          <w:rFonts w:ascii="Times New Roman" w:hAnsi="Times New Roman" w:cs="Times New Roman"/>
          <w:sz w:val="22"/>
          <w:szCs w:val="22"/>
        </w:rPr>
        <w:t xml:space="preserve"> = 0,05, sehingga H0 di tolak. Dengan demikian dapat disimpulkan bahwa variabel demografi (gender,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(financial knowledge,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dan financial attitude)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bersama-sama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</w:t>
      </w:r>
    </w:p>
    <w:p w14:paraId="3718F0BC" w14:textId="77777777" w:rsidR="00B5782F" w:rsidRPr="00C27AA6" w:rsidRDefault="00B5782F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4D33C95" w14:textId="77777777" w:rsidR="00B5782F" w:rsidRPr="00C27AA6" w:rsidRDefault="00B5782F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0" w:name="_Toc105051612"/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Pengujian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Parsial</w:t>
      </w:r>
      <w:bookmarkEnd w:id="0"/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2015571" w14:textId="1B2DF35F" w:rsidR="00B5782F" w:rsidRPr="00C27AA6" w:rsidRDefault="00B5782F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Pengujian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parameter model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regresi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logistik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uji Wald.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berikut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:</w:t>
      </w:r>
    </w:p>
    <w:p w14:paraId="7F1B7FFF" w14:textId="4F9BF7B3" w:rsidR="00B5782F" w:rsidRDefault="004623F7" w:rsidP="004623F7">
      <w:pPr>
        <w:spacing w:line="276" w:lineRule="auto"/>
        <w:jc w:val="both"/>
        <w:rPr>
          <w:iCs/>
          <w:sz w:val="22"/>
          <w:szCs w:val="22"/>
        </w:rPr>
      </w:pPr>
      <w:r w:rsidRPr="004623F7">
        <w:rPr>
          <w:iCs/>
          <w:sz w:val="22"/>
          <w:szCs w:val="22"/>
        </w:rPr>
        <w:drawing>
          <wp:inline distT="0" distB="0" distL="0" distR="0" wp14:anchorId="7D29346E" wp14:editId="4025C6B1">
            <wp:extent cx="2453640" cy="4625443"/>
            <wp:effectExtent l="0" t="0" r="3810" b="381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6025" cy="462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707C" w14:textId="1012E2C7" w:rsidR="004623F7" w:rsidRPr="004623F7" w:rsidRDefault="004623F7" w:rsidP="004623F7">
      <w:pPr>
        <w:spacing w:after="160" w:line="276" w:lineRule="auto"/>
        <w:jc w:val="both"/>
        <w:rPr>
          <w:iCs/>
          <w:sz w:val="22"/>
          <w:szCs w:val="22"/>
        </w:rPr>
      </w:pPr>
      <w:r w:rsidRPr="004623F7">
        <w:rPr>
          <w:iCs/>
          <w:sz w:val="22"/>
          <w:szCs w:val="22"/>
        </w:rPr>
        <w:drawing>
          <wp:inline distT="0" distB="0" distL="0" distR="0" wp14:anchorId="3F92A1CB" wp14:editId="6F2046E1">
            <wp:extent cx="2446020" cy="1335711"/>
            <wp:effectExtent l="0" t="0" r="0" b="0"/>
            <wp:docPr id="8" name="Picture 8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9540" cy="134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6742" w14:textId="7F43F115" w:rsidR="00B5782F" w:rsidRPr="00C27AA6" w:rsidRDefault="00B5782F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Diperoleh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beberapa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kesimpulan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berikut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:</w:t>
      </w:r>
    </w:p>
    <w:p w14:paraId="42A64211" w14:textId="58563AD2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ind w:left="993" w:hanging="426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gender (DG)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laki-laki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perempuan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Namun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variabel</w:t>
      </w:r>
      <w:proofErr w:type="spellEnd"/>
      <w:r w:rsidRPr="00C27AA6">
        <w:rPr>
          <w:iCs/>
          <w:sz w:val="22"/>
          <w:szCs w:val="22"/>
        </w:rPr>
        <w:t xml:space="preserve"> gender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0,143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besar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diterima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gender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7F415A04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proofErr w:type="spellStart"/>
      <w:r w:rsidRPr="00C27AA6">
        <w:rPr>
          <w:iCs/>
          <w:sz w:val="22"/>
          <w:szCs w:val="22"/>
        </w:rPr>
        <w:t>tingkat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pendidikan</w:t>
      </w:r>
      <w:proofErr w:type="spellEnd"/>
      <w:r w:rsidRPr="00C27AA6">
        <w:rPr>
          <w:iCs/>
          <w:sz w:val="22"/>
          <w:szCs w:val="22"/>
        </w:rPr>
        <w:t xml:space="preserve"> (DTP)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yang </w:t>
      </w:r>
      <w:proofErr w:type="spellStart"/>
      <w:r w:rsidRPr="00C27AA6">
        <w:rPr>
          <w:iCs/>
          <w:sz w:val="22"/>
          <w:szCs w:val="22"/>
        </w:rPr>
        <w:t>berpendidikan</w:t>
      </w:r>
      <w:proofErr w:type="spellEnd"/>
      <w:r w:rsidRPr="00C27AA6">
        <w:rPr>
          <w:iCs/>
          <w:sz w:val="22"/>
          <w:szCs w:val="22"/>
        </w:rPr>
        <w:t xml:space="preserve"> S2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guru PNS yang </w:t>
      </w:r>
      <w:proofErr w:type="spellStart"/>
      <w:r w:rsidRPr="00C27AA6">
        <w:rPr>
          <w:iCs/>
          <w:sz w:val="22"/>
          <w:szCs w:val="22"/>
        </w:rPr>
        <w:t>berpendidikan</w:t>
      </w:r>
      <w:proofErr w:type="spellEnd"/>
      <w:r w:rsidRPr="00C27AA6">
        <w:rPr>
          <w:iCs/>
          <w:sz w:val="22"/>
          <w:szCs w:val="22"/>
        </w:rPr>
        <w:t xml:space="preserve"> S1. </w:t>
      </w:r>
      <w:proofErr w:type="spellStart"/>
      <w:r w:rsidRPr="00C27AA6">
        <w:rPr>
          <w:iCs/>
          <w:sz w:val="22"/>
          <w:szCs w:val="22"/>
        </w:rPr>
        <w:t>Namun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variabel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tingkat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pendidikan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0,218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besar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diterima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tingkat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pendidikan</w:t>
      </w:r>
      <w:proofErr w:type="spellEnd"/>
      <w:r w:rsidRPr="00C27AA6">
        <w:rPr>
          <w:iCs/>
          <w:sz w:val="22"/>
          <w:szCs w:val="22"/>
        </w:rPr>
        <w:t xml:space="preserve"> tidak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0927557A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proofErr w:type="spellStart"/>
      <w:r w:rsidRPr="00C27AA6">
        <w:rPr>
          <w:iCs/>
          <w:sz w:val="22"/>
          <w:szCs w:val="22"/>
        </w:rPr>
        <w:t>usia</w:t>
      </w:r>
      <w:proofErr w:type="spellEnd"/>
      <w:r w:rsidRPr="00C27AA6">
        <w:rPr>
          <w:iCs/>
          <w:sz w:val="22"/>
          <w:szCs w:val="22"/>
        </w:rPr>
        <w:t xml:space="preserve"> (DU)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negatif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di </w:t>
      </w:r>
      <w:proofErr w:type="spellStart"/>
      <w:r w:rsidRPr="00C27AA6">
        <w:rPr>
          <w:iCs/>
          <w:sz w:val="22"/>
          <w:szCs w:val="22"/>
        </w:rPr>
        <w:t>bawah</w:t>
      </w:r>
      <w:proofErr w:type="spellEnd"/>
      <w:r w:rsidRPr="00C27AA6">
        <w:rPr>
          <w:iCs/>
          <w:sz w:val="22"/>
          <w:szCs w:val="22"/>
        </w:rPr>
        <w:t xml:space="preserve"> 40 </w:t>
      </w:r>
      <w:proofErr w:type="spellStart"/>
      <w:r w:rsidRPr="00C27AA6">
        <w:rPr>
          <w:iCs/>
          <w:sz w:val="22"/>
          <w:szCs w:val="22"/>
        </w:rPr>
        <w:t>tahun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guru PNS di </w:t>
      </w:r>
      <w:proofErr w:type="spellStart"/>
      <w:r w:rsidRPr="00C27AA6">
        <w:rPr>
          <w:iCs/>
          <w:sz w:val="22"/>
          <w:szCs w:val="22"/>
        </w:rPr>
        <w:t>atas</w:t>
      </w:r>
      <w:proofErr w:type="spellEnd"/>
      <w:r w:rsidRPr="00C27AA6">
        <w:rPr>
          <w:iCs/>
          <w:sz w:val="22"/>
          <w:szCs w:val="22"/>
        </w:rPr>
        <w:t xml:space="preserve"> 40 </w:t>
      </w:r>
      <w:proofErr w:type="spellStart"/>
      <w:r w:rsidRPr="00C27AA6">
        <w:rPr>
          <w:iCs/>
          <w:sz w:val="22"/>
          <w:szCs w:val="22"/>
        </w:rPr>
        <w:t>tahun</w:t>
      </w:r>
      <w:proofErr w:type="spellEnd"/>
      <w:r w:rsidRPr="00C27AA6">
        <w:rPr>
          <w:iCs/>
          <w:sz w:val="22"/>
          <w:szCs w:val="22"/>
        </w:rPr>
        <w:t xml:space="preserve">. Variabel </w:t>
      </w:r>
      <w:proofErr w:type="spellStart"/>
      <w:r w:rsidRPr="00C27AA6">
        <w:rPr>
          <w:iCs/>
          <w:sz w:val="22"/>
          <w:szCs w:val="22"/>
        </w:rPr>
        <w:t>usia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0,000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kecil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ditolak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usia</w:t>
      </w:r>
      <w:proofErr w:type="spellEnd"/>
      <w:r w:rsidRPr="00C27AA6">
        <w:rPr>
          <w:iCs/>
          <w:sz w:val="22"/>
          <w:szCs w:val="22"/>
        </w:rPr>
        <w:t xml:space="preserve">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4506CCE9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proofErr w:type="spellStart"/>
      <w:r w:rsidRPr="00C27AA6">
        <w:rPr>
          <w:iCs/>
          <w:sz w:val="22"/>
          <w:szCs w:val="22"/>
        </w:rPr>
        <w:t>jumlah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tanggungan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keluarga</w:t>
      </w:r>
      <w:proofErr w:type="spellEnd"/>
      <w:r w:rsidRPr="00C27AA6">
        <w:rPr>
          <w:iCs/>
          <w:sz w:val="22"/>
          <w:szCs w:val="22"/>
        </w:rPr>
        <w:t xml:space="preserve"> 3-4 orang (DJT1) dan &gt; 4 orang (DJT2) masing-masing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jumlah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tanggungan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keluarga</w:t>
      </w:r>
      <w:proofErr w:type="spellEnd"/>
      <w:r w:rsidRPr="00C27AA6">
        <w:rPr>
          <w:iCs/>
          <w:sz w:val="22"/>
          <w:szCs w:val="22"/>
        </w:rPr>
        <w:t xml:space="preserve"> 3-4 orang dan &gt; 4 orang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jumlah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tanggungan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keluarga</w:t>
      </w:r>
      <w:proofErr w:type="spellEnd"/>
      <w:r w:rsidRPr="00C27AA6">
        <w:rPr>
          <w:iCs/>
          <w:sz w:val="22"/>
          <w:szCs w:val="22"/>
        </w:rPr>
        <w:t xml:space="preserve"> 0-2 orang. </w:t>
      </w:r>
      <w:proofErr w:type="spellStart"/>
      <w:r w:rsidRPr="00C27AA6">
        <w:rPr>
          <w:iCs/>
          <w:sz w:val="22"/>
          <w:szCs w:val="22"/>
        </w:rPr>
        <w:t>Namun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variabel</w:t>
      </w:r>
      <w:proofErr w:type="spellEnd"/>
      <w:r w:rsidRPr="00C27AA6">
        <w:rPr>
          <w:iCs/>
          <w:sz w:val="22"/>
          <w:szCs w:val="22"/>
        </w:rPr>
        <w:t xml:space="preserve"> DJT1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0,711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besar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diterima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Sedangkan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variabel</w:t>
      </w:r>
      <w:proofErr w:type="spellEnd"/>
      <w:r w:rsidRPr="00C27AA6">
        <w:rPr>
          <w:iCs/>
          <w:sz w:val="22"/>
          <w:szCs w:val="22"/>
        </w:rPr>
        <w:t xml:space="preserve"> DJT2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0,004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kecil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ditolak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jumlah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tanggungan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keluarga</w:t>
      </w:r>
      <w:proofErr w:type="spellEnd"/>
      <w:r w:rsidRPr="00C27AA6">
        <w:rPr>
          <w:iCs/>
          <w:sz w:val="22"/>
          <w:szCs w:val="22"/>
        </w:rPr>
        <w:t xml:space="preserve"> berpengaruh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personal, </w:t>
      </w:r>
      <w:proofErr w:type="spellStart"/>
      <w:r w:rsidRPr="00C27AA6">
        <w:rPr>
          <w:iCs/>
          <w:sz w:val="22"/>
          <w:szCs w:val="22"/>
        </w:rPr>
        <w:t>nakun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pengaruhnya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akan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ketika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jumlah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tanggungannya</w:t>
      </w:r>
      <w:proofErr w:type="spellEnd"/>
      <w:r w:rsidRPr="00C27AA6">
        <w:rPr>
          <w:iCs/>
          <w:sz w:val="22"/>
          <w:szCs w:val="22"/>
        </w:rPr>
        <w:t xml:space="preserve"> &gt; 4 orang.</w:t>
      </w:r>
    </w:p>
    <w:p w14:paraId="30EFEB33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proofErr w:type="spellStart"/>
      <w:r w:rsidRPr="00C27AA6">
        <w:rPr>
          <w:iCs/>
          <w:sz w:val="22"/>
          <w:szCs w:val="22"/>
        </w:rPr>
        <w:t>golongan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gaji</w:t>
      </w:r>
      <w:proofErr w:type="spellEnd"/>
      <w:r w:rsidRPr="00C27AA6">
        <w:rPr>
          <w:iCs/>
          <w:sz w:val="22"/>
          <w:szCs w:val="22"/>
        </w:rPr>
        <w:t xml:space="preserve"> III (DGG1) dan IV (DGG2) masing-masing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negatif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golongan</w:t>
      </w:r>
      <w:proofErr w:type="spellEnd"/>
      <w:r w:rsidRPr="00C27AA6">
        <w:rPr>
          <w:iCs/>
          <w:sz w:val="22"/>
          <w:szCs w:val="22"/>
        </w:rPr>
        <w:t xml:space="preserve"> II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golongan</w:t>
      </w:r>
      <w:proofErr w:type="spellEnd"/>
      <w:r w:rsidRPr="00C27AA6">
        <w:rPr>
          <w:iCs/>
          <w:sz w:val="22"/>
          <w:szCs w:val="22"/>
        </w:rPr>
        <w:t xml:space="preserve"> III dan IV. Variabel DGG1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0,007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kecil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ditolak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Sedangkan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variabel</w:t>
      </w:r>
      <w:proofErr w:type="spellEnd"/>
      <w:r w:rsidRPr="00C27AA6">
        <w:rPr>
          <w:iCs/>
          <w:sz w:val="22"/>
          <w:szCs w:val="22"/>
        </w:rPr>
        <w:t xml:space="preserve"> DGG2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0,935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besar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diterima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golongan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gaji</w:t>
      </w:r>
      <w:proofErr w:type="spellEnd"/>
      <w:r w:rsidRPr="00C27AA6">
        <w:rPr>
          <w:iCs/>
          <w:sz w:val="22"/>
          <w:szCs w:val="22"/>
        </w:rPr>
        <w:t xml:space="preserve"> berpengaruh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personal, </w:t>
      </w:r>
      <w:proofErr w:type="spellStart"/>
      <w:r w:rsidRPr="00C27AA6">
        <w:rPr>
          <w:iCs/>
          <w:sz w:val="22"/>
          <w:szCs w:val="22"/>
        </w:rPr>
        <w:t>namun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pengaruhnya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akan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ketika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golongan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gajinya</w:t>
      </w:r>
      <w:proofErr w:type="spellEnd"/>
      <w:r w:rsidRPr="00C27AA6">
        <w:rPr>
          <w:iCs/>
          <w:sz w:val="22"/>
          <w:szCs w:val="22"/>
        </w:rPr>
        <w:t xml:space="preserve"> III.</w:t>
      </w:r>
    </w:p>
    <w:p w14:paraId="7F1ED439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r w:rsidRPr="00C27AA6">
        <w:rPr>
          <w:i/>
          <w:sz w:val="22"/>
          <w:szCs w:val="22"/>
        </w:rPr>
        <w:t>financial knowledge</w:t>
      </w:r>
      <w:r w:rsidRPr="00C27AA6">
        <w:rPr>
          <w:iCs/>
          <w:sz w:val="22"/>
          <w:szCs w:val="22"/>
        </w:rPr>
        <w:t xml:space="preserve"> (DFK)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financial knowledge</w:t>
      </w:r>
      <w:r w:rsidRPr="00C27AA6">
        <w:rPr>
          <w:iCs/>
          <w:sz w:val="22"/>
          <w:szCs w:val="22"/>
        </w:rPr>
        <w:t xml:space="preserve"> di </w:t>
      </w:r>
      <w:proofErr w:type="spellStart"/>
      <w:r w:rsidRPr="00C27AA6">
        <w:rPr>
          <w:iCs/>
          <w:sz w:val="22"/>
          <w:szCs w:val="22"/>
        </w:rPr>
        <w:t>atas</w:t>
      </w:r>
      <w:proofErr w:type="spellEnd"/>
      <w:r w:rsidRPr="00C27AA6">
        <w:rPr>
          <w:iCs/>
          <w:sz w:val="22"/>
          <w:szCs w:val="22"/>
        </w:rPr>
        <w:t xml:space="preserve"> rata-rata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 xml:space="preserve">financial knowledge </w:t>
      </w:r>
      <w:r w:rsidRPr="00C27AA6">
        <w:rPr>
          <w:iCs/>
          <w:sz w:val="22"/>
          <w:szCs w:val="22"/>
        </w:rPr>
        <w:t xml:space="preserve">di </w:t>
      </w:r>
      <w:proofErr w:type="spellStart"/>
      <w:r w:rsidRPr="00C27AA6">
        <w:rPr>
          <w:iCs/>
          <w:sz w:val="22"/>
          <w:szCs w:val="22"/>
        </w:rPr>
        <w:t>bawah</w:t>
      </w:r>
      <w:proofErr w:type="spellEnd"/>
      <w:r w:rsidRPr="00C27AA6">
        <w:rPr>
          <w:iCs/>
          <w:sz w:val="22"/>
          <w:szCs w:val="22"/>
        </w:rPr>
        <w:t xml:space="preserve"> rata-rata. Variabel </w:t>
      </w:r>
      <w:r w:rsidRPr="00C27AA6">
        <w:rPr>
          <w:i/>
          <w:sz w:val="22"/>
          <w:szCs w:val="22"/>
        </w:rPr>
        <w:t>financial knowledge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0,0015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kecil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ditolak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financial knowledge</w:t>
      </w:r>
      <w:r w:rsidRPr="00C27AA6">
        <w:rPr>
          <w:iCs/>
          <w:sz w:val="22"/>
          <w:szCs w:val="22"/>
        </w:rPr>
        <w:t xml:space="preserve">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5CC08099" w14:textId="77777777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r w:rsidRPr="00C27AA6">
        <w:rPr>
          <w:i/>
          <w:sz w:val="22"/>
          <w:szCs w:val="22"/>
        </w:rPr>
        <w:t xml:space="preserve">financial </w:t>
      </w:r>
      <w:proofErr w:type="spellStart"/>
      <w:r w:rsidRPr="00C27AA6">
        <w:rPr>
          <w:i/>
          <w:sz w:val="22"/>
          <w:szCs w:val="22"/>
        </w:rPr>
        <w:t>behavior</w:t>
      </w:r>
      <w:proofErr w:type="spellEnd"/>
      <w:r w:rsidRPr="00C27AA6">
        <w:rPr>
          <w:iCs/>
          <w:sz w:val="22"/>
          <w:szCs w:val="22"/>
        </w:rPr>
        <w:t xml:space="preserve"> (DFB)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 xml:space="preserve">financial </w:t>
      </w:r>
      <w:proofErr w:type="spellStart"/>
      <w:r w:rsidRPr="00C27AA6">
        <w:rPr>
          <w:i/>
          <w:sz w:val="22"/>
          <w:szCs w:val="22"/>
        </w:rPr>
        <w:t>behavior</w:t>
      </w:r>
      <w:proofErr w:type="spellEnd"/>
      <w:r w:rsidRPr="00C27AA6">
        <w:rPr>
          <w:iCs/>
          <w:sz w:val="22"/>
          <w:szCs w:val="22"/>
        </w:rPr>
        <w:t xml:space="preserve"> di </w:t>
      </w:r>
      <w:proofErr w:type="spellStart"/>
      <w:r w:rsidRPr="00C27AA6">
        <w:rPr>
          <w:iCs/>
          <w:sz w:val="22"/>
          <w:szCs w:val="22"/>
        </w:rPr>
        <w:t>atas</w:t>
      </w:r>
      <w:proofErr w:type="spellEnd"/>
      <w:r w:rsidRPr="00C27AA6">
        <w:rPr>
          <w:iCs/>
          <w:sz w:val="22"/>
          <w:szCs w:val="22"/>
        </w:rPr>
        <w:t xml:space="preserve"> rata-rata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 xml:space="preserve">financial </w:t>
      </w:r>
      <w:proofErr w:type="spellStart"/>
      <w:r w:rsidRPr="00C27AA6">
        <w:rPr>
          <w:i/>
          <w:sz w:val="22"/>
          <w:szCs w:val="22"/>
        </w:rPr>
        <w:t>behavior</w:t>
      </w:r>
      <w:proofErr w:type="spellEnd"/>
      <w:r w:rsidRPr="00C27AA6">
        <w:rPr>
          <w:i/>
          <w:sz w:val="22"/>
          <w:szCs w:val="22"/>
        </w:rPr>
        <w:t xml:space="preserve"> </w:t>
      </w:r>
      <w:r w:rsidRPr="00C27AA6">
        <w:rPr>
          <w:iCs/>
          <w:sz w:val="22"/>
          <w:szCs w:val="22"/>
        </w:rPr>
        <w:t xml:space="preserve">di </w:t>
      </w:r>
      <w:proofErr w:type="spellStart"/>
      <w:r w:rsidRPr="00C27AA6">
        <w:rPr>
          <w:iCs/>
          <w:sz w:val="22"/>
          <w:szCs w:val="22"/>
        </w:rPr>
        <w:t>bawah</w:t>
      </w:r>
      <w:proofErr w:type="spellEnd"/>
      <w:r w:rsidRPr="00C27AA6">
        <w:rPr>
          <w:iCs/>
          <w:sz w:val="22"/>
          <w:szCs w:val="22"/>
        </w:rPr>
        <w:t xml:space="preserve"> rata-rata. Variabel </w:t>
      </w:r>
      <w:r w:rsidRPr="00C27AA6">
        <w:rPr>
          <w:i/>
          <w:sz w:val="22"/>
          <w:szCs w:val="22"/>
        </w:rPr>
        <w:t xml:space="preserve">financial </w:t>
      </w:r>
      <w:proofErr w:type="spellStart"/>
      <w:r w:rsidRPr="00C27AA6">
        <w:rPr>
          <w:i/>
          <w:sz w:val="22"/>
          <w:szCs w:val="22"/>
        </w:rPr>
        <w:t>behavior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0,000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kecil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ditolak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 xml:space="preserve">financial </w:t>
      </w:r>
      <w:proofErr w:type="spellStart"/>
      <w:r w:rsidRPr="00C27AA6">
        <w:rPr>
          <w:i/>
          <w:sz w:val="22"/>
          <w:szCs w:val="22"/>
        </w:rPr>
        <w:t>behavior</w:t>
      </w:r>
      <w:proofErr w:type="spellEnd"/>
      <w:r w:rsidRPr="00C27AA6">
        <w:rPr>
          <w:iCs/>
          <w:sz w:val="22"/>
          <w:szCs w:val="22"/>
        </w:rPr>
        <w:t xml:space="preserve">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2232C47C" w14:textId="7843B826" w:rsidR="00B5782F" w:rsidRPr="00C27AA6" w:rsidRDefault="00B5782F" w:rsidP="00C27AA6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iCs/>
          <w:sz w:val="22"/>
          <w:szCs w:val="22"/>
        </w:rPr>
      </w:pPr>
      <w:r w:rsidRPr="00C27AA6">
        <w:rPr>
          <w:iCs/>
          <w:sz w:val="22"/>
          <w:szCs w:val="22"/>
        </w:rPr>
        <w:t xml:space="preserve">Variabel </w:t>
      </w:r>
      <w:r w:rsidRPr="00C27AA6">
        <w:rPr>
          <w:i/>
          <w:sz w:val="22"/>
          <w:szCs w:val="22"/>
        </w:rPr>
        <w:t>financial attitude</w:t>
      </w:r>
      <w:r w:rsidRPr="00C27AA6">
        <w:rPr>
          <w:iCs/>
          <w:sz w:val="22"/>
          <w:szCs w:val="22"/>
        </w:rPr>
        <w:t xml:space="preserve"> (DFA) </w:t>
      </w:r>
      <w:proofErr w:type="spellStart"/>
      <w:r w:rsidRPr="00C27AA6">
        <w:rPr>
          <w:iCs/>
          <w:sz w:val="22"/>
          <w:szCs w:val="22"/>
        </w:rPr>
        <w:t>mempunyai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koefisien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positif</w:t>
      </w:r>
      <w:proofErr w:type="spellEnd"/>
      <w:r w:rsidRPr="00C27AA6">
        <w:rPr>
          <w:iCs/>
          <w:sz w:val="22"/>
          <w:szCs w:val="22"/>
        </w:rPr>
        <w:t xml:space="preserve"> yang </w:t>
      </w:r>
      <w:proofErr w:type="spellStart"/>
      <w:r w:rsidRPr="00C27AA6">
        <w:rPr>
          <w:iCs/>
          <w:sz w:val="22"/>
          <w:szCs w:val="22"/>
        </w:rPr>
        <w:t>menunjukkan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financial attitude</w:t>
      </w:r>
      <w:r w:rsidRPr="00C27AA6">
        <w:rPr>
          <w:iCs/>
          <w:sz w:val="22"/>
          <w:szCs w:val="22"/>
        </w:rPr>
        <w:t xml:space="preserve"> di </w:t>
      </w:r>
      <w:proofErr w:type="spellStart"/>
      <w:r w:rsidRPr="00C27AA6">
        <w:rPr>
          <w:iCs/>
          <w:sz w:val="22"/>
          <w:szCs w:val="22"/>
        </w:rPr>
        <w:t>atas</w:t>
      </w:r>
      <w:proofErr w:type="spellEnd"/>
      <w:r w:rsidRPr="00C27AA6">
        <w:rPr>
          <w:iCs/>
          <w:sz w:val="22"/>
          <w:szCs w:val="22"/>
        </w:rPr>
        <w:t xml:space="preserve"> rata-rata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dibandingkan</w:t>
      </w:r>
      <w:proofErr w:type="spellEnd"/>
      <w:r w:rsidRPr="00C27AA6">
        <w:rPr>
          <w:iCs/>
          <w:sz w:val="22"/>
          <w:szCs w:val="22"/>
        </w:rPr>
        <w:t xml:space="preserve"> guru PNS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 xml:space="preserve">financial attitude </w:t>
      </w:r>
      <w:r w:rsidRPr="00C27AA6">
        <w:rPr>
          <w:iCs/>
          <w:sz w:val="22"/>
          <w:szCs w:val="22"/>
        </w:rPr>
        <w:t xml:space="preserve">di </w:t>
      </w:r>
      <w:proofErr w:type="spellStart"/>
      <w:r w:rsidRPr="00C27AA6">
        <w:rPr>
          <w:iCs/>
          <w:sz w:val="22"/>
          <w:szCs w:val="22"/>
        </w:rPr>
        <w:t>bawah</w:t>
      </w:r>
      <w:proofErr w:type="spellEnd"/>
      <w:r w:rsidRPr="00C27AA6">
        <w:rPr>
          <w:iCs/>
          <w:sz w:val="22"/>
          <w:szCs w:val="22"/>
        </w:rPr>
        <w:t xml:space="preserve"> rata-rata. Variabel </w:t>
      </w:r>
      <w:r w:rsidRPr="00C27AA6">
        <w:rPr>
          <w:i/>
          <w:sz w:val="22"/>
          <w:szCs w:val="22"/>
        </w:rPr>
        <w:t>financial attitude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menghasilkan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p-value</w:t>
      </w:r>
      <w:r w:rsidRPr="00C27AA6">
        <w:rPr>
          <w:iCs/>
          <w:sz w:val="22"/>
          <w:szCs w:val="22"/>
        </w:rPr>
        <w:t xml:space="preserve"> = 0,323 </w:t>
      </w:r>
      <w:proofErr w:type="spellStart"/>
      <w:r w:rsidRPr="00C27AA6">
        <w:rPr>
          <w:iCs/>
          <w:sz w:val="22"/>
          <w:szCs w:val="22"/>
        </w:rPr>
        <w:t>lebih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besar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dari</w:t>
      </w:r>
      <w:proofErr w:type="spellEnd"/>
      <w:r w:rsidRPr="00C27AA6">
        <w:rPr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C27AA6">
        <w:rPr>
          <w:rFonts w:eastAsiaTheme="minorEastAsia"/>
          <w:iCs/>
          <w:sz w:val="22"/>
          <w:szCs w:val="22"/>
        </w:rPr>
        <w:t xml:space="preserve"> = </w:t>
      </w:r>
      <w:r w:rsidRPr="00C27AA6">
        <w:rPr>
          <w:iCs/>
          <w:sz w:val="22"/>
          <w:szCs w:val="22"/>
        </w:rPr>
        <w:t xml:space="preserve">0,05, </w:t>
      </w:r>
      <w:proofErr w:type="spellStart"/>
      <w:r w:rsidRPr="00C27AA6">
        <w:rPr>
          <w:iCs/>
          <w:sz w:val="22"/>
          <w:szCs w:val="22"/>
        </w:rPr>
        <w:t>sehingga</w:t>
      </w:r>
      <w:proofErr w:type="spellEnd"/>
      <w:r w:rsidRPr="00C27AA6">
        <w:rPr>
          <w:iCs/>
          <w:sz w:val="22"/>
          <w:szCs w:val="22"/>
        </w:rPr>
        <w:t xml:space="preserve"> H</w:t>
      </w:r>
      <w:r w:rsidRPr="00C27AA6">
        <w:rPr>
          <w:iCs/>
          <w:sz w:val="22"/>
          <w:szCs w:val="22"/>
          <w:vertAlign w:val="subscript"/>
        </w:rPr>
        <w:t>0</w:t>
      </w:r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diterima</w:t>
      </w:r>
      <w:proofErr w:type="spellEnd"/>
      <w:r w:rsidRPr="00C27AA6">
        <w:rPr>
          <w:iCs/>
          <w:sz w:val="22"/>
          <w:szCs w:val="22"/>
        </w:rPr>
        <w:t xml:space="preserve">. </w:t>
      </w:r>
      <w:proofErr w:type="spellStart"/>
      <w:r w:rsidRPr="00C27AA6">
        <w:rPr>
          <w:iCs/>
          <w:sz w:val="22"/>
          <w:szCs w:val="22"/>
        </w:rPr>
        <w:t>Dengan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demikian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dapat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disimpulkan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bahwa</w:t>
      </w:r>
      <w:proofErr w:type="spellEnd"/>
      <w:r w:rsidRPr="00C27AA6">
        <w:rPr>
          <w:iCs/>
          <w:sz w:val="22"/>
          <w:szCs w:val="22"/>
        </w:rPr>
        <w:t xml:space="preserve"> </w:t>
      </w:r>
      <w:r w:rsidRPr="00C27AA6">
        <w:rPr>
          <w:i/>
          <w:sz w:val="22"/>
          <w:szCs w:val="22"/>
        </w:rPr>
        <w:t>financial attitude</w:t>
      </w:r>
      <w:r w:rsidRPr="00C27AA6">
        <w:rPr>
          <w:iCs/>
          <w:sz w:val="22"/>
          <w:szCs w:val="22"/>
        </w:rPr>
        <w:t xml:space="preserve"> tidak berpengaruh </w:t>
      </w:r>
      <w:proofErr w:type="spellStart"/>
      <w:r w:rsidRPr="00C27AA6">
        <w:rPr>
          <w:iCs/>
          <w:sz w:val="22"/>
          <w:szCs w:val="22"/>
        </w:rPr>
        <w:t>signifikan</w:t>
      </w:r>
      <w:proofErr w:type="spellEnd"/>
      <w:r w:rsidRPr="00C27AA6">
        <w:rPr>
          <w:iCs/>
          <w:sz w:val="22"/>
          <w:szCs w:val="22"/>
        </w:rPr>
        <w:t xml:space="preserve"> terhadap </w:t>
      </w:r>
      <w:proofErr w:type="spellStart"/>
      <w:r w:rsidRPr="00C27AA6">
        <w:rPr>
          <w:iCs/>
          <w:sz w:val="22"/>
          <w:szCs w:val="22"/>
        </w:rPr>
        <w:t>praktik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manajemen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keuangan</w:t>
      </w:r>
      <w:proofErr w:type="spellEnd"/>
      <w:r w:rsidRPr="00C27AA6">
        <w:rPr>
          <w:iCs/>
          <w:sz w:val="22"/>
          <w:szCs w:val="22"/>
        </w:rPr>
        <w:t xml:space="preserve"> personal.</w:t>
      </w:r>
    </w:p>
    <w:p w14:paraId="3982AA7D" w14:textId="639486B7" w:rsidR="00B5782F" w:rsidRPr="00C27AA6" w:rsidRDefault="00B5782F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1" w:name="_Toc105051613"/>
      <w:r w:rsidRPr="00C27AA6">
        <w:rPr>
          <w:rFonts w:ascii="Times New Roman" w:hAnsi="Times New Roman" w:cs="Times New Roman"/>
          <w:i w:val="0"/>
          <w:sz w:val="22"/>
          <w:szCs w:val="22"/>
        </w:rPr>
        <w:t>Odds Ratio</w:t>
      </w:r>
      <w:bookmarkEnd w:id="1"/>
    </w:p>
    <w:p w14:paraId="18DA4C34" w14:textId="6948F992" w:rsidR="00B5782F" w:rsidRPr="004623F7" w:rsidRDefault="00B5782F" w:rsidP="00C27AA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23F7">
        <w:rPr>
          <w:rFonts w:ascii="Times New Roman" w:hAnsi="Times New Roman" w:cs="Times New Roman"/>
          <w:b/>
          <w:sz w:val="20"/>
          <w:szCs w:val="20"/>
        </w:rPr>
        <w:t xml:space="preserve">Table 6. </w:t>
      </w:r>
      <w:proofErr w:type="spellStart"/>
      <w:r w:rsidRPr="004623F7">
        <w:rPr>
          <w:rFonts w:ascii="Times New Roman" w:hAnsi="Times New Roman" w:cs="Times New Roman"/>
          <w:b/>
          <w:sz w:val="20"/>
          <w:szCs w:val="20"/>
        </w:rPr>
        <w:t>nilai</w:t>
      </w:r>
      <w:proofErr w:type="spellEnd"/>
      <w:r w:rsidRPr="004623F7">
        <w:rPr>
          <w:rFonts w:ascii="Times New Roman" w:hAnsi="Times New Roman" w:cs="Times New Roman"/>
          <w:b/>
          <w:sz w:val="20"/>
          <w:szCs w:val="20"/>
        </w:rPr>
        <w:t xml:space="preserve"> odds ratio </w:t>
      </w:r>
      <w:proofErr w:type="spellStart"/>
      <w:r w:rsidRPr="004623F7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4623F7">
        <w:rPr>
          <w:rFonts w:ascii="Times New Roman" w:hAnsi="Times New Roman" w:cs="Times New Roman"/>
          <w:b/>
          <w:sz w:val="20"/>
          <w:szCs w:val="20"/>
        </w:rPr>
        <w:t xml:space="preserve"> masing-masing </w:t>
      </w:r>
      <w:proofErr w:type="spellStart"/>
      <w:r w:rsidRPr="004623F7">
        <w:rPr>
          <w:rFonts w:ascii="Times New Roman" w:hAnsi="Times New Roman" w:cs="Times New Roman"/>
          <w:b/>
          <w:sz w:val="20"/>
          <w:szCs w:val="20"/>
        </w:rPr>
        <w:t>variabel</w:t>
      </w:r>
      <w:proofErr w:type="spellEnd"/>
    </w:p>
    <w:p w14:paraId="2A151078" w14:textId="5EB24EA1" w:rsidR="004B7080" w:rsidRPr="004623F7" w:rsidRDefault="004623F7" w:rsidP="004623F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23F7">
        <w:rPr>
          <w:rFonts w:ascii="Times New Roman" w:hAnsi="Times New Roman" w:cs="Times New Roman"/>
          <w:sz w:val="22"/>
          <w:szCs w:val="22"/>
        </w:rPr>
        <w:drawing>
          <wp:inline distT="0" distB="0" distL="0" distR="0" wp14:anchorId="6564A0B2" wp14:editId="26B3E704">
            <wp:extent cx="2474595" cy="1519555"/>
            <wp:effectExtent l="0" t="0" r="1905" b="444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4E82" w14:textId="1AE47F96" w:rsidR="007B7094" w:rsidRPr="00C27AA6" w:rsidRDefault="007B7094" w:rsidP="00C27AA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FF6CC4" w14:textId="380A01AE" w:rsidR="00B5782F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Pembahasan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68AC0119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2" w:name="_Toc105051616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Demografi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Keuangan terhadap Praktik Manajemen Keuangan Personal</w:t>
      </w:r>
      <w:bookmarkEnd w:id="2"/>
    </w:p>
    <w:p w14:paraId="29B2FB05" w14:textId="1839BF38" w:rsidR="00922D65" w:rsidRPr="00C27AA6" w:rsidRDefault="00922D6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pengujian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simultan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disimpulkan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Demografi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(gender,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Pendidikan,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(financial knowledge,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financial attitude)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Manajemen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Kebenaran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dukung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Variabel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karakteristik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sosial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ekonomi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bersama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(personal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). Tingkat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(personal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nyamutte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(2010)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responden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tidak. Responden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apresiasi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aplikasi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disimpulkan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 </w:t>
      </w:r>
    </w:p>
    <w:p w14:paraId="7A698B00" w14:textId="77777777" w:rsidR="00922D65" w:rsidRPr="00C27AA6" w:rsidRDefault="00922D6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2CE004DB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3" w:name="_Toc105051617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Gender terhadap Praktik Manajemen Keuangan Personal</w:t>
      </w:r>
      <w:bookmarkEnd w:id="3"/>
    </w:p>
    <w:p w14:paraId="29270B2B" w14:textId="02F65CAF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odds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rasio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Manajemen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perempuan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Akan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tetapi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gender tidak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gender (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tidak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perempuan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sedikit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Manajemen Keuangan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personalnya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Hal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diakrenakan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Ayu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Khrisna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dkk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(2010)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mempunyai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literasi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wanita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404E55AE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59E440A5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4" w:name="_Toc105051618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Tingkat Pendidikan terhadap Praktik Manajemen Keuangan Personal</w:t>
      </w:r>
      <w:bookmarkEnd w:id="4"/>
    </w:p>
    <w:p w14:paraId="2490D37C" w14:textId="489F28CC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Pendidikan  tidak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>Pendidikan  (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D3/S1 dan S2) tidak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mengemukakan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“Tingkat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variabel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(personal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).”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Yulianto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Syahputra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(2018)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>“ Tingkat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pendidikan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seseorang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Pendidikan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penerapan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keluarganya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.”</w:t>
      </w:r>
    </w:p>
    <w:p w14:paraId="1CECFF57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30DF1D8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5" w:name="_Toc105051619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Usia terhadap Praktik Manajemen Keuangan Personal</w:t>
      </w:r>
      <w:bookmarkEnd w:id="5"/>
    </w:p>
    <w:p w14:paraId="2903D558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End"/>
      <w:r w:rsidRPr="00C27AA6">
        <w:rPr>
          <w:rFonts w:ascii="Times New Roman" w:hAnsi="Times New Roman" w:cs="Times New Roman"/>
          <w:sz w:val="22"/>
          <w:szCs w:val="22"/>
          <w:u w:val="single"/>
        </w:rPr>
        <w:t>&lt;</w:t>
      </w:r>
      <w:r w:rsidRPr="00C27AA6">
        <w:rPr>
          <w:rFonts w:ascii="Times New Roman" w:hAnsi="Times New Roman" w:cs="Times New Roman"/>
          <w:sz w:val="22"/>
          <w:szCs w:val="22"/>
        </w:rPr>
        <w:t xml:space="preserve"> 40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&gt; 40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Hal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menemukan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20 – 35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36 – 50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atasnya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”.</w:t>
      </w:r>
    </w:p>
    <w:p w14:paraId="70A1214D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6" w:name="_Toc105051620"/>
    </w:p>
    <w:p w14:paraId="131C5DB3" w14:textId="2328D5DC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Jumlah Tanggungan terhadap Praktik Manajemen Keuangan Personal</w:t>
      </w:r>
      <w:bookmarkEnd w:id="6"/>
    </w:p>
    <w:p w14:paraId="42434F81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ketika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&lt; 4 orang.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0-2 orang, 3-4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orang,dan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&gt;4 orang)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banyak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semakin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juga Praktik Manajemen Keuangan personal. Hal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Ulfah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&amp;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Yuniarti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(2019)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menemukan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“Jumlah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ibu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Kebumen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”.</w:t>
      </w:r>
    </w:p>
    <w:p w14:paraId="3D3CD24B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7" w:name="_Toc105051621"/>
    </w:p>
    <w:p w14:paraId="2B4DD989" w14:textId="38A21643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Golongan Gaji Praktik Manajemen Keuangan Personal</w:t>
      </w:r>
      <w:bookmarkEnd w:id="7"/>
    </w:p>
    <w:p w14:paraId="649F3628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Golongan II, Golongan III, Golongan IV)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Manajemen Keuangan personal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ketika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III.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Wiharno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menemukan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IV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lainnya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Pegawai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Negeri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Sipil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ruang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gaji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II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tingkat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manajemen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personal yang paling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rendah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4AED911F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8" w:name="_Toc105051622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Financial Knowledge terhadap Praktik Manajemen Keuangan Personal</w:t>
      </w:r>
      <w:bookmarkEnd w:id="8"/>
    </w:p>
    <w:p w14:paraId="16E51E04" w14:textId="391D8EF4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Knowledge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Knowledge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Knowledge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bawah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– rata.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Hilger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&amp; Hogarth (2003)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keseluruhan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keunangan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statistic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berhubungan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practice.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Peningkatan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knowledge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mendorong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peningkatan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pengelolaan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(financial management practice).</w:t>
      </w:r>
    </w:p>
    <w:p w14:paraId="3E01E8F4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EBD4B6E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9" w:name="_Toc105051623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terhadap Praktik Manajemen Keuangan Personal</w:t>
      </w:r>
      <w:bookmarkEnd w:id="9"/>
    </w:p>
    <w:p w14:paraId="6F039BD7" w14:textId="77777777" w:rsidR="00922D65" w:rsidRPr="00C27AA6" w:rsidRDefault="00922D65" w:rsidP="00C27AA6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bawah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– rata.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Beverly &amp;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Hilgert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(2003)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prilaku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cukp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luas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Amerika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Serikat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Variabel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Prilaku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sangat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besar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peningktan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rumah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tangga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787E820F" w14:textId="77777777" w:rsidR="00922D65" w:rsidRPr="00C27AA6" w:rsidRDefault="00922D65" w:rsidP="00C27AA6">
      <w:pPr>
        <w:pStyle w:val="ListParagraph"/>
        <w:spacing w:line="276" w:lineRule="auto"/>
        <w:ind w:left="1440"/>
        <w:jc w:val="both"/>
        <w:rPr>
          <w:b/>
          <w:sz w:val="22"/>
          <w:szCs w:val="22"/>
          <w:lang w:val="en-US"/>
        </w:rPr>
      </w:pPr>
    </w:p>
    <w:p w14:paraId="28507C80" w14:textId="77777777" w:rsidR="00922D65" w:rsidRPr="00C27AA6" w:rsidRDefault="00922D65" w:rsidP="00C27AA6">
      <w:pPr>
        <w:pStyle w:val="Heading3"/>
        <w:keepNext w:val="0"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10" w:name="_Toc105051624"/>
      <w:proofErr w:type="spellStart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Pengaruh</w:t>
      </w:r>
      <w:proofErr w:type="spellEnd"/>
      <w:r w:rsidRPr="00C27A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Financial Attitude terhadap Praktik Manajemen Keuangan Personal</w:t>
      </w:r>
      <w:bookmarkEnd w:id="10"/>
    </w:p>
    <w:p w14:paraId="32C50880" w14:textId="65989A28" w:rsidR="00922D65" w:rsidRPr="00C27AA6" w:rsidRDefault="00922D65" w:rsidP="00C27AA6">
      <w:pPr>
        <w:spacing w:line="276" w:lineRule="auto"/>
        <w:ind w:firstLine="720"/>
        <w:jc w:val="both"/>
        <w:rPr>
          <w:rFonts w:ascii="Times New Roman" w:hAnsi="Times New Roman" w:cs="Times New Roman"/>
          <w:iCs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hasil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hipotesis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parsial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Attitudu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tidak berpengaruh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terhadap Praktik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manjemen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Keuangan personal.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Artinya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Attitude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-rata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Praktik Manajemen Keuangan Personal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Attitude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bawah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rata – rata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tidak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berlaku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bagi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semua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Guru PNS di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Kabupaten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Kuningan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Hasil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sejalan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oleh Anthony (2011)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penelitiannya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ditemukan</w:t>
      </w:r>
      <w:proofErr w:type="spellEnd"/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keseluruhan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praktisi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medis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di Malaysia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financial attitude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positif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tetapi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kurang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dalam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pengetahuan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Keuangan dan financial management practice”.</w:t>
      </w:r>
    </w:p>
    <w:p w14:paraId="11EDEB88" w14:textId="77777777" w:rsidR="00922D65" w:rsidRPr="00C27AA6" w:rsidRDefault="00922D65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11" w:name="_Toc105051627"/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Simpulan</w:t>
      </w:r>
      <w:bookmarkEnd w:id="11"/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6F717886" w14:textId="77777777" w:rsidR="00922D65" w:rsidRPr="00C27AA6" w:rsidRDefault="00922D65" w:rsidP="00C27AA6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hasil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pembahasan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diuraikan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disimpulkan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</w:p>
    <w:p w14:paraId="7A0AB141" w14:textId="77777777" w:rsidR="00922D65" w:rsidRPr="00C27AA6" w:rsidRDefault="00922D65" w:rsidP="00C27AA6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r w:rsidRPr="00C27AA6">
        <w:rPr>
          <w:sz w:val="22"/>
          <w:szCs w:val="22"/>
          <w:lang w:val="en-US"/>
        </w:rPr>
        <w:t xml:space="preserve">Variabel </w:t>
      </w:r>
      <w:proofErr w:type="spellStart"/>
      <w:r w:rsidRPr="00C27AA6">
        <w:rPr>
          <w:sz w:val="22"/>
          <w:szCs w:val="22"/>
          <w:lang w:val="en-US"/>
        </w:rPr>
        <w:t>demografi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terdiri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gender, </w:t>
      </w:r>
      <w:proofErr w:type="spellStart"/>
      <w:r w:rsidRPr="00C27AA6">
        <w:rPr>
          <w:sz w:val="22"/>
          <w:szCs w:val="22"/>
          <w:lang w:val="en-US"/>
        </w:rPr>
        <w:t>tingkat</w:t>
      </w:r>
      <w:proofErr w:type="spellEnd"/>
      <w:r w:rsidRPr="00C27AA6">
        <w:rPr>
          <w:sz w:val="22"/>
          <w:szCs w:val="22"/>
          <w:lang w:val="en-US"/>
        </w:rPr>
        <w:t xml:space="preserve"> Pendidikan, </w:t>
      </w:r>
      <w:proofErr w:type="spellStart"/>
      <w:r w:rsidRPr="00C27AA6">
        <w:rPr>
          <w:sz w:val="22"/>
          <w:szCs w:val="22"/>
          <w:lang w:val="en-US"/>
        </w:rPr>
        <w:t>usia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jumlah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tanggungan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golongan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gaji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Literasi</w:t>
      </w:r>
      <w:proofErr w:type="spellEnd"/>
      <w:r w:rsidRPr="00C27AA6">
        <w:rPr>
          <w:sz w:val="22"/>
          <w:szCs w:val="22"/>
          <w:lang w:val="en-US"/>
        </w:rPr>
        <w:t xml:space="preserve"> Keuangan yang </w:t>
      </w:r>
      <w:proofErr w:type="spellStart"/>
      <w:r w:rsidRPr="00C27AA6">
        <w:rPr>
          <w:sz w:val="22"/>
          <w:szCs w:val="22"/>
          <w:lang w:val="en-US"/>
        </w:rPr>
        <w:t>terdiri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financial knowledge, financial behavior, financial attitude </w:t>
      </w:r>
      <w:proofErr w:type="spellStart"/>
      <w:r w:rsidRPr="00C27AA6">
        <w:rPr>
          <w:sz w:val="22"/>
          <w:szCs w:val="22"/>
          <w:lang w:val="en-US"/>
        </w:rPr>
        <w:t>secara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bersama</w:t>
      </w:r>
      <w:proofErr w:type="spellEnd"/>
      <w:r w:rsidRPr="00C27AA6">
        <w:rPr>
          <w:sz w:val="22"/>
          <w:szCs w:val="22"/>
          <w:lang w:val="en-US"/>
        </w:rPr>
        <w:t xml:space="preserve"> – </w:t>
      </w:r>
      <w:proofErr w:type="spellStart"/>
      <w:r w:rsidRPr="00C27AA6">
        <w:rPr>
          <w:sz w:val="22"/>
          <w:szCs w:val="22"/>
          <w:lang w:val="en-US"/>
        </w:rPr>
        <w:t>sama</w:t>
      </w:r>
      <w:proofErr w:type="spellEnd"/>
      <w:r w:rsidRPr="00C27AA6">
        <w:rPr>
          <w:sz w:val="22"/>
          <w:szCs w:val="22"/>
          <w:lang w:val="en-US"/>
        </w:rPr>
        <w:t xml:space="preserve"> berpengaruh terhadap Praktik Manajemen Keuangan personal pada guru </w:t>
      </w:r>
      <w:proofErr w:type="spellStart"/>
      <w:r w:rsidRPr="00C27AA6">
        <w:rPr>
          <w:sz w:val="22"/>
          <w:szCs w:val="22"/>
          <w:lang w:val="en-US"/>
        </w:rPr>
        <w:t>Pegawai</w:t>
      </w:r>
      <w:proofErr w:type="spellEnd"/>
      <w:r w:rsidRPr="00C27AA6">
        <w:rPr>
          <w:sz w:val="22"/>
          <w:szCs w:val="22"/>
          <w:lang w:val="en-US"/>
        </w:rPr>
        <w:t xml:space="preserve"> Negeri </w:t>
      </w:r>
      <w:proofErr w:type="spellStart"/>
      <w:r w:rsidRPr="00C27AA6">
        <w:rPr>
          <w:sz w:val="22"/>
          <w:szCs w:val="22"/>
          <w:lang w:val="en-US"/>
        </w:rPr>
        <w:t>Sipil</w:t>
      </w:r>
      <w:proofErr w:type="spellEnd"/>
      <w:r w:rsidRPr="00C27AA6">
        <w:rPr>
          <w:sz w:val="22"/>
          <w:szCs w:val="22"/>
          <w:lang w:val="en-US"/>
        </w:rPr>
        <w:t xml:space="preserve"> (PNS) di </w:t>
      </w:r>
      <w:proofErr w:type="spellStart"/>
      <w:r w:rsidRPr="00C27AA6">
        <w:rPr>
          <w:sz w:val="22"/>
          <w:szCs w:val="22"/>
          <w:lang w:val="en-US"/>
        </w:rPr>
        <w:t>Kabupaten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Kuningan</w:t>
      </w:r>
      <w:proofErr w:type="spellEnd"/>
      <w:r w:rsidRPr="00C27AA6">
        <w:rPr>
          <w:sz w:val="22"/>
          <w:szCs w:val="22"/>
          <w:lang w:val="en-US"/>
        </w:rPr>
        <w:t xml:space="preserve">. </w:t>
      </w:r>
    </w:p>
    <w:p w14:paraId="757AEBD4" w14:textId="77777777" w:rsidR="00922D65" w:rsidRPr="00C27AA6" w:rsidRDefault="00922D65" w:rsidP="00C27AA6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r w:rsidRPr="00C27AA6">
        <w:rPr>
          <w:sz w:val="22"/>
          <w:szCs w:val="22"/>
          <w:lang w:val="en-US"/>
        </w:rPr>
        <w:t xml:space="preserve">Variabel Usia, </w:t>
      </w:r>
      <w:proofErr w:type="spellStart"/>
      <w:r w:rsidRPr="00C27AA6">
        <w:rPr>
          <w:sz w:val="22"/>
          <w:szCs w:val="22"/>
          <w:lang w:val="en-US"/>
        </w:rPr>
        <w:t>jumlah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tanggungan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golongan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gaji</w:t>
      </w:r>
      <w:proofErr w:type="spellEnd"/>
      <w:r w:rsidRPr="00C27AA6">
        <w:rPr>
          <w:sz w:val="22"/>
          <w:szCs w:val="22"/>
          <w:lang w:val="en-US"/>
        </w:rPr>
        <w:t xml:space="preserve">, financial knowledge, financial behavior </w:t>
      </w:r>
      <w:proofErr w:type="spellStart"/>
      <w:r w:rsidRPr="00C27AA6">
        <w:rPr>
          <w:sz w:val="22"/>
          <w:szCs w:val="22"/>
          <w:lang w:val="en-US"/>
        </w:rPr>
        <w:t>merupakan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yang berpengaruh </w:t>
      </w:r>
      <w:proofErr w:type="spellStart"/>
      <w:r w:rsidRPr="00C27AA6">
        <w:rPr>
          <w:sz w:val="22"/>
          <w:szCs w:val="22"/>
          <w:lang w:val="en-US"/>
        </w:rPr>
        <w:t>signifikan</w:t>
      </w:r>
      <w:proofErr w:type="spellEnd"/>
      <w:r w:rsidRPr="00C27AA6">
        <w:rPr>
          <w:sz w:val="22"/>
          <w:szCs w:val="22"/>
          <w:lang w:val="en-US"/>
        </w:rPr>
        <w:t xml:space="preserve"> terhadap Praktik Manajemen Keuangan personal </w:t>
      </w:r>
      <w:proofErr w:type="spellStart"/>
      <w:r w:rsidRPr="00C27AA6">
        <w:rPr>
          <w:sz w:val="22"/>
          <w:szCs w:val="22"/>
          <w:lang w:val="en-US"/>
        </w:rPr>
        <w:t>seorang</w:t>
      </w:r>
      <w:proofErr w:type="spellEnd"/>
      <w:r w:rsidRPr="00C27AA6">
        <w:rPr>
          <w:sz w:val="22"/>
          <w:szCs w:val="22"/>
          <w:lang w:val="en-US"/>
        </w:rPr>
        <w:t xml:space="preserve"> guru </w:t>
      </w:r>
      <w:proofErr w:type="spellStart"/>
      <w:r w:rsidRPr="00C27AA6">
        <w:rPr>
          <w:sz w:val="22"/>
          <w:szCs w:val="22"/>
          <w:lang w:val="en-US"/>
        </w:rPr>
        <w:t>pegawai</w:t>
      </w:r>
      <w:proofErr w:type="spellEnd"/>
      <w:r w:rsidRPr="00C27AA6">
        <w:rPr>
          <w:sz w:val="22"/>
          <w:szCs w:val="22"/>
          <w:lang w:val="en-US"/>
        </w:rPr>
        <w:t xml:space="preserve"> negeri </w:t>
      </w:r>
      <w:proofErr w:type="spellStart"/>
      <w:r w:rsidRPr="00C27AA6">
        <w:rPr>
          <w:sz w:val="22"/>
          <w:szCs w:val="22"/>
          <w:lang w:val="en-US"/>
        </w:rPr>
        <w:t>sipil</w:t>
      </w:r>
      <w:proofErr w:type="spellEnd"/>
      <w:r w:rsidRPr="00C27AA6">
        <w:rPr>
          <w:sz w:val="22"/>
          <w:szCs w:val="22"/>
          <w:lang w:val="en-US"/>
        </w:rPr>
        <w:t xml:space="preserve"> (PNS) di </w:t>
      </w:r>
      <w:proofErr w:type="spellStart"/>
      <w:r w:rsidRPr="00C27AA6">
        <w:rPr>
          <w:sz w:val="22"/>
          <w:szCs w:val="22"/>
          <w:lang w:val="en-US"/>
        </w:rPr>
        <w:t>Kabupaten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Kuningan</w:t>
      </w:r>
      <w:proofErr w:type="spellEnd"/>
      <w:r w:rsidRPr="00C27AA6">
        <w:rPr>
          <w:sz w:val="22"/>
          <w:szCs w:val="22"/>
          <w:lang w:val="en-US"/>
        </w:rPr>
        <w:t>.</w:t>
      </w:r>
    </w:p>
    <w:p w14:paraId="16D6B52E" w14:textId="77777777" w:rsidR="00922D65" w:rsidRPr="00C27AA6" w:rsidRDefault="00922D65" w:rsidP="00C27AA6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r w:rsidRPr="00C27AA6">
        <w:rPr>
          <w:sz w:val="22"/>
          <w:szCs w:val="22"/>
          <w:lang w:val="en-US"/>
        </w:rPr>
        <w:t xml:space="preserve">Variabel gender, </w:t>
      </w:r>
      <w:proofErr w:type="spellStart"/>
      <w:r w:rsidRPr="00C27AA6">
        <w:rPr>
          <w:sz w:val="22"/>
          <w:szCs w:val="22"/>
          <w:lang w:val="en-US"/>
        </w:rPr>
        <w:t>tingkat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pendidikan</w:t>
      </w:r>
      <w:proofErr w:type="spellEnd"/>
      <w:r w:rsidRPr="00C27AA6">
        <w:rPr>
          <w:sz w:val="22"/>
          <w:szCs w:val="22"/>
          <w:lang w:val="en-US"/>
        </w:rPr>
        <w:t xml:space="preserve">, financial attitude </w:t>
      </w:r>
      <w:proofErr w:type="spellStart"/>
      <w:r w:rsidRPr="00C27AA6">
        <w:rPr>
          <w:sz w:val="22"/>
          <w:szCs w:val="22"/>
          <w:lang w:val="en-US"/>
        </w:rPr>
        <w:t>merupakan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yang tidak berpengaruh </w:t>
      </w:r>
      <w:proofErr w:type="spellStart"/>
      <w:r w:rsidRPr="00C27AA6">
        <w:rPr>
          <w:sz w:val="22"/>
          <w:szCs w:val="22"/>
          <w:lang w:val="en-US"/>
        </w:rPr>
        <w:t>signifikan</w:t>
      </w:r>
      <w:proofErr w:type="spellEnd"/>
      <w:r w:rsidRPr="00C27AA6">
        <w:rPr>
          <w:sz w:val="22"/>
          <w:szCs w:val="22"/>
          <w:lang w:val="en-US"/>
        </w:rPr>
        <w:t xml:space="preserve"> terhadap </w:t>
      </w:r>
      <w:proofErr w:type="spellStart"/>
      <w:r w:rsidRPr="00C27AA6">
        <w:rPr>
          <w:sz w:val="22"/>
          <w:szCs w:val="22"/>
          <w:lang w:val="en-US"/>
        </w:rPr>
        <w:t>praktik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manajemen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personal guru </w:t>
      </w:r>
      <w:proofErr w:type="spellStart"/>
      <w:r w:rsidRPr="00C27AA6">
        <w:rPr>
          <w:sz w:val="22"/>
          <w:szCs w:val="22"/>
          <w:lang w:val="en-US"/>
        </w:rPr>
        <w:t>pegawai</w:t>
      </w:r>
      <w:proofErr w:type="spellEnd"/>
      <w:r w:rsidRPr="00C27AA6">
        <w:rPr>
          <w:sz w:val="22"/>
          <w:szCs w:val="22"/>
          <w:lang w:val="en-US"/>
        </w:rPr>
        <w:t xml:space="preserve"> negeri </w:t>
      </w:r>
      <w:proofErr w:type="spellStart"/>
      <w:r w:rsidRPr="00C27AA6">
        <w:rPr>
          <w:sz w:val="22"/>
          <w:szCs w:val="22"/>
          <w:lang w:val="en-US"/>
        </w:rPr>
        <w:t>sipil</w:t>
      </w:r>
      <w:proofErr w:type="spellEnd"/>
      <w:r w:rsidRPr="00C27AA6">
        <w:rPr>
          <w:sz w:val="22"/>
          <w:szCs w:val="22"/>
          <w:lang w:val="en-US"/>
        </w:rPr>
        <w:t xml:space="preserve"> (PNS) di </w:t>
      </w:r>
      <w:proofErr w:type="spellStart"/>
      <w:r w:rsidRPr="00C27AA6">
        <w:rPr>
          <w:sz w:val="22"/>
          <w:szCs w:val="22"/>
          <w:lang w:val="en-US"/>
        </w:rPr>
        <w:t>kabupaten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kuningan</w:t>
      </w:r>
      <w:proofErr w:type="spellEnd"/>
      <w:r w:rsidRPr="00C27AA6">
        <w:rPr>
          <w:sz w:val="22"/>
          <w:szCs w:val="22"/>
          <w:lang w:val="en-US"/>
        </w:rPr>
        <w:t>.</w:t>
      </w:r>
    </w:p>
    <w:p w14:paraId="79CAE0F3" w14:textId="58E651A3" w:rsidR="00922D65" w:rsidRPr="00C27AA6" w:rsidRDefault="00922D65" w:rsidP="00C27AA6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proofErr w:type="spellStart"/>
      <w:r w:rsidRPr="00C27AA6">
        <w:rPr>
          <w:sz w:val="22"/>
          <w:szCs w:val="22"/>
          <w:lang w:val="en-US"/>
        </w:rPr>
        <w:t>Besarnya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kontribusi</w:t>
      </w:r>
      <w:proofErr w:type="spellEnd"/>
      <w:r w:rsidRPr="00C27AA6">
        <w:rPr>
          <w:sz w:val="22"/>
          <w:szCs w:val="22"/>
          <w:lang w:val="en-US"/>
        </w:rPr>
        <w:t xml:space="preserve"> atau </w:t>
      </w:r>
      <w:proofErr w:type="spellStart"/>
      <w:r w:rsidRPr="00C27AA6">
        <w:rPr>
          <w:sz w:val="22"/>
          <w:szCs w:val="22"/>
          <w:lang w:val="en-US"/>
        </w:rPr>
        <w:t>sumbangan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pengaruh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gender, </w:t>
      </w:r>
      <w:proofErr w:type="spellStart"/>
      <w:r w:rsidRPr="00C27AA6">
        <w:rPr>
          <w:sz w:val="22"/>
          <w:szCs w:val="22"/>
          <w:lang w:val="en-US"/>
        </w:rPr>
        <w:t>tingkat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pendidikan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usia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jumlah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tanggungan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golongan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gaji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pengetahuan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(financial knowledge), </w:t>
      </w:r>
      <w:proofErr w:type="spellStart"/>
      <w:r w:rsidRPr="00C27AA6">
        <w:rPr>
          <w:sz w:val="22"/>
          <w:szCs w:val="22"/>
          <w:lang w:val="en-US"/>
        </w:rPr>
        <w:t>perilaku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(financial behavior), </w:t>
      </w:r>
      <w:proofErr w:type="spellStart"/>
      <w:r w:rsidRPr="00C27AA6">
        <w:rPr>
          <w:sz w:val="22"/>
          <w:szCs w:val="22"/>
          <w:lang w:val="en-US"/>
        </w:rPr>
        <w:t>prinsip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(financial attitude) terhadap </w:t>
      </w:r>
      <w:proofErr w:type="spellStart"/>
      <w:r w:rsidRPr="00C27AA6">
        <w:rPr>
          <w:sz w:val="22"/>
          <w:szCs w:val="22"/>
          <w:lang w:val="en-US"/>
        </w:rPr>
        <w:t>praktik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manajemen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adlah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sebesar</w:t>
      </w:r>
      <w:proofErr w:type="spellEnd"/>
      <w:r w:rsidRPr="00C27AA6">
        <w:rPr>
          <w:sz w:val="22"/>
          <w:szCs w:val="22"/>
          <w:lang w:val="en-US"/>
        </w:rPr>
        <w:t xml:space="preserve"> 42,1%, </w:t>
      </w:r>
      <w:proofErr w:type="spellStart"/>
      <w:r w:rsidRPr="00C27AA6">
        <w:rPr>
          <w:sz w:val="22"/>
          <w:szCs w:val="22"/>
          <w:lang w:val="en-US"/>
        </w:rPr>
        <w:t>sementara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sisanya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sebesar</w:t>
      </w:r>
      <w:proofErr w:type="spellEnd"/>
      <w:r w:rsidRPr="00C27AA6">
        <w:rPr>
          <w:sz w:val="22"/>
          <w:szCs w:val="22"/>
          <w:lang w:val="en-US"/>
        </w:rPr>
        <w:t xml:space="preserve"> 57,9% </w:t>
      </w:r>
      <w:proofErr w:type="spellStart"/>
      <w:r w:rsidRPr="00C27AA6">
        <w:rPr>
          <w:sz w:val="22"/>
          <w:szCs w:val="22"/>
          <w:lang w:val="en-US"/>
        </w:rPr>
        <w:t>merupakan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kontribusi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diluar</w:t>
      </w:r>
      <w:proofErr w:type="spellEnd"/>
      <w:r w:rsidRPr="00C27AA6">
        <w:rPr>
          <w:sz w:val="22"/>
          <w:szCs w:val="22"/>
          <w:lang w:val="en-US"/>
        </w:rPr>
        <w:t xml:space="preserve"> model.</w:t>
      </w:r>
    </w:p>
    <w:p w14:paraId="5ACBD32B" w14:textId="77777777" w:rsidR="00922D65" w:rsidRPr="00C27AA6" w:rsidRDefault="00922D65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  <w:bookmarkStart w:id="12" w:name="_Toc105051628"/>
      <w:proofErr w:type="spellStart"/>
      <w:r w:rsidRPr="00C27AA6">
        <w:rPr>
          <w:rFonts w:ascii="Times New Roman" w:hAnsi="Times New Roman" w:cs="Times New Roman"/>
          <w:i w:val="0"/>
          <w:sz w:val="22"/>
          <w:szCs w:val="22"/>
        </w:rPr>
        <w:t>Implikasi</w:t>
      </w:r>
      <w:proofErr w:type="spellEnd"/>
      <w:r w:rsidRPr="00C27AA6">
        <w:rPr>
          <w:rFonts w:ascii="Times New Roman" w:hAnsi="Times New Roman" w:cs="Times New Roman"/>
          <w:i w:val="0"/>
          <w:sz w:val="22"/>
          <w:szCs w:val="22"/>
        </w:rPr>
        <w:t xml:space="preserve"> dan Saran</w:t>
      </w:r>
      <w:bookmarkEnd w:id="12"/>
    </w:p>
    <w:p w14:paraId="7F47B397" w14:textId="77777777" w:rsidR="00922D65" w:rsidRPr="00C27AA6" w:rsidRDefault="00922D65" w:rsidP="00C27AA6">
      <w:pPr>
        <w:pStyle w:val="ListParagraph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r w:rsidRPr="00C27AA6">
        <w:rPr>
          <w:sz w:val="22"/>
          <w:szCs w:val="22"/>
          <w:lang w:val="en-US"/>
        </w:rPr>
        <w:t xml:space="preserve">Pada </w:t>
      </w:r>
      <w:proofErr w:type="spellStart"/>
      <w:r w:rsidRPr="00C27AA6">
        <w:rPr>
          <w:sz w:val="22"/>
          <w:szCs w:val="22"/>
          <w:lang w:val="en-US"/>
        </w:rPr>
        <w:t>Prinsipnya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bahwa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kesuksesan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finansial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terletak</w:t>
      </w:r>
      <w:proofErr w:type="spellEnd"/>
      <w:r w:rsidRPr="00C27AA6">
        <w:rPr>
          <w:sz w:val="22"/>
          <w:szCs w:val="22"/>
          <w:lang w:val="en-US"/>
        </w:rPr>
        <w:t xml:space="preserve"> pada </w:t>
      </w:r>
      <w:proofErr w:type="spellStart"/>
      <w:r w:rsidRPr="00C27AA6">
        <w:rPr>
          <w:sz w:val="22"/>
          <w:szCs w:val="22"/>
          <w:lang w:val="en-US"/>
        </w:rPr>
        <w:t>jumlah</w:t>
      </w:r>
      <w:proofErr w:type="spellEnd"/>
      <w:r w:rsidRPr="00C27AA6">
        <w:rPr>
          <w:sz w:val="22"/>
          <w:szCs w:val="22"/>
          <w:lang w:val="en-US"/>
        </w:rPr>
        <w:t xml:space="preserve"> uang yang </w:t>
      </w:r>
      <w:proofErr w:type="spellStart"/>
      <w:r w:rsidRPr="00C27AA6">
        <w:rPr>
          <w:sz w:val="22"/>
          <w:szCs w:val="22"/>
          <w:lang w:val="en-US"/>
        </w:rPr>
        <w:t>dimiliki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tetapi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kemampuan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mengatur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mengelola</w:t>
      </w:r>
      <w:proofErr w:type="spellEnd"/>
      <w:r w:rsidRPr="00C27AA6">
        <w:rPr>
          <w:sz w:val="22"/>
          <w:szCs w:val="22"/>
          <w:lang w:val="en-US"/>
        </w:rPr>
        <w:t xml:space="preserve"> Keuangan personal (Manajemen Keuangan Personal). Banyak </w:t>
      </w:r>
      <w:proofErr w:type="spellStart"/>
      <w:r w:rsidRPr="00C27AA6">
        <w:rPr>
          <w:sz w:val="22"/>
          <w:szCs w:val="22"/>
          <w:lang w:val="en-US"/>
        </w:rPr>
        <w:t>manfaat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bisa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didapat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apabila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dapat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mengelola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dengan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baik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antara</w:t>
      </w:r>
      <w:proofErr w:type="spellEnd"/>
      <w:r w:rsidRPr="00C27AA6">
        <w:rPr>
          <w:sz w:val="22"/>
          <w:szCs w:val="22"/>
          <w:lang w:val="en-US"/>
        </w:rPr>
        <w:t xml:space="preserve"> lain </w:t>
      </w:r>
      <w:proofErr w:type="spellStart"/>
      <w:r w:rsidRPr="00C27AA6">
        <w:rPr>
          <w:sz w:val="22"/>
          <w:szCs w:val="22"/>
          <w:lang w:val="en-US"/>
        </w:rPr>
        <w:t>melatih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pola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hidup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hemat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melatih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lebih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tertib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teratur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memiliki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perlindungan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perencanaan</w:t>
      </w:r>
      <w:proofErr w:type="spellEnd"/>
      <w:r w:rsidRPr="00C27AA6">
        <w:rPr>
          <w:sz w:val="22"/>
          <w:szCs w:val="22"/>
          <w:lang w:val="en-US"/>
        </w:rPr>
        <w:t xml:space="preserve"> yang tidak </w:t>
      </w:r>
      <w:proofErr w:type="spellStart"/>
      <w:r w:rsidRPr="00C27AA6">
        <w:rPr>
          <w:sz w:val="22"/>
          <w:szCs w:val="22"/>
          <w:lang w:val="en-US"/>
        </w:rPr>
        <w:t>terduga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menghindari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diri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dari</w:t>
      </w:r>
      <w:proofErr w:type="spellEnd"/>
      <w:r w:rsidRPr="00C27AA6">
        <w:rPr>
          <w:sz w:val="22"/>
          <w:szCs w:val="22"/>
          <w:lang w:val="en-US"/>
        </w:rPr>
        <w:t xml:space="preserve"> utang, dan masa </w:t>
      </w:r>
      <w:proofErr w:type="spellStart"/>
      <w:r w:rsidRPr="00C27AA6">
        <w:rPr>
          <w:sz w:val="22"/>
          <w:szCs w:val="22"/>
          <w:lang w:val="en-US"/>
        </w:rPr>
        <w:t>depan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terencana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dengan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baik</w:t>
      </w:r>
      <w:proofErr w:type="spellEnd"/>
      <w:r w:rsidRPr="00C27AA6">
        <w:rPr>
          <w:sz w:val="22"/>
          <w:szCs w:val="22"/>
          <w:lang w:val="en-US"/>
        </w:rPr>
        <w:t xml:space="preserve">. Dari </w:t>
      </w:r>
      <w:proofErr w:type="spellStart"/>
      <w:r w:rsidRPr="00C27AA6">
        <w:rPr>
          <w:sz w:val="22"/>
          <w:szCs w:val="22"/>
          <w:lang w:val="en-US"/>
        </w:rPr>
        <w:t>hasil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diperoleh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bahwa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praktik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manajemen</w:t>
      </w:r>
      <w:proofErr w:type="spellEnd"/>
      <w:r w:rsidRPr="00C27AA6">
        <w:rPr>
          <w:sz w:val="22"/>
          <w:szCs w:val="22"/>
          <w:lang w:val="en-US"/>
        </w:rPr>
        <w:t xml:space="preserve"> Keuangan personal </w:t>
      </w:r>
      <w:proofErr w:type="spellStart"/>
      <w:r w:rsidRPr="00C27AA6">
        <w:rPr>
          <w:sz w:val="22"/>
          <w:szCs w:val="22"/>
          <w:lang w:val="en-US"/>
        </w:rPr>
        <w:t>dipengaruh</w:t>
      </w:r>
      <w:proofErr w:type="spellEnd"/>
      <w:r w:rsidRPr="00C27AA6">
        <w:rPr>
          <w:sz w:val="22"/>
          <w:szCs w:val="22"/>
          <w:lang w:val="en-US"/>
        </w:rPr>
        <w:t xml:space="preserve"> oleh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demografi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Literasi</w:t>
      </w:r>
      <w:proofErr w:type="spellEnd"/>
      <w:r w:rsidRPr="00C27AA6">
        <w:rPr>
          <w:sz w:val="22"/>
          <w:szCs w:val="22"/>
          <w:lang w:val="en-US"/>
        </w:rPr>
        <w:t xml:space="preserve"> Keuangan. </w:t>
      </w:r>
      <w:proofErr w:type="spellStart"/>
      <w:r w:rsidRPr="00C27AA6">
        <w:rPr>
          <w:sz w:val="22"/>
          <w:szCs w:val="22"/>
          <w:lang w:val="en-US"/>
        </w:rPr>
        <w:t>Maka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disarankan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dalam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upaya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meningkatkan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kesejahteraan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selain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berupaya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meningkatkan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pendapatan</w:t>
      </w:r>
      <w:proofErr w:type="spellEnd"/>
      <w:r w:rsidRPr="00C27AA6">
        <w:rPr>
          <w:sz w:val="22"/>
          <w:szCs w:val="22"/>
          <w:lang w:val="en-US"/>
        </w:rPr>
        <w:t xml:space="preserve"> juga </w:t>
      </w:r>
      <w:proofErr w:type="spellStart"/>
      <w:r w:rsidRPr="00C27AA6">
        <w:rPr>
          <w:sz w:val="22"/>
          <w:szCs w:val="22"/>
          <w:lang w:val="en-US"/>
        </w:rPr>
        <w:t>perlu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diupayakan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meningkatkan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kemampuan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dalam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melakukan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pengelolaan</w:t>
      </w:r>
      <w:proofErr w:type="spellEnd"/>
      <w:r w:rsidRPr="00C27AA6">
        <w:rPr>
          <w:sz w:val="22"/>
          <w:szCs w:val="22"/>
          <w:lang w:val="en-US"/>
        </w:rPr>
        <w:t xml:space="preserve"> Keuangan </w:t>
      </w:r>
      <w:proofErr w:type="spellStart"/>
      <w:r w:rsidRPr="00C27AA6">
        <w:rPr>
          <w:sz w:val="22"/>
          <w:szCs w:val="22"/>
          <w:lang w:val="en-US"/>
        </w:rPr>
        <w:t>personalnya</w:t>
      </w:r>
      <w:proofErr w:type="spellEnd"/>
      <w:r w:rsidRPr="00C27AA6">
        <w:rPr>
          <w:sz w:val="22"/>
          <w:szCs w:val="22"/>
          <w:lang w:val="en-US"/>
        </w:rPr>
        <w:t>.</w:t>
      </w:r>
    </w:p>
    <w:p w14:paraId="0F921BE6" w14:textId="77777777" w:rsidR="00922D65" w:rsidRPr="00C27AA6" w:rsidRDefault="00922D65" w:rsidP="00C27AA6">
      <w:pPr>
        <w:pStyle w:val="ListParagraph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r w:rsidRPr="00C27AA6">
        <w:rPr>
          <w:sz w:val="22"/>
          <w:szCs w:val="22"/>
          <w:lang w:val="en-US"/>
        </w:rPr>
        <w:t xml:space="preserve">Dari </w:t>
      </w:r>
      <w:proofErr w:type="spellStart"/>
      <w:r w:rsidRPr="00C27AA6">
        <w:rPr>
          <w:sz w:val="22"/>
          <w:szCs w:val="22"/>
          <w:lang w:val="en-US"/>
        </w:rPr>
        <w:t>hasil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menunjukan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bahwa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Literasi</w:t>
      </w:r>
      <w:proofErr w:type="spellEnd"/>
      <w:r w:rsidRPr="00C27AA6">
        <w:rPr>
          <w:sz w:val="22"/>
          <w:szCs w:val="22"/>
          <w:lang w:val="en-US"/>
        </w:rPr>
        <w:t xml:space="preserve"> Keuangan </w:t>
      </w:r>
      <w:proofErr w:type="spellStart"/>
      <w:r w:rsidRPr="00C27AA6">
        <w:rPr>
          <w:sz w:val="22"/>
          <w:szCs w:val="22"/>
          <w:lang w:val="en-US"/>
        </w:rPr>
        <w:t>mempengaruhi</w:t>
      </w:r>
      <w:proofErr w:type="spellEnd"/>
      <w:r w:rsidRPr="00C27AA6">
        <w:rPr>
          <w:sz w:val="22"/>
          <w:szCs w:val="22"/>
          <w:lang w:val="en-US"/>
        </w:rPr>
        <w:t xml:space="preserve"> Praktik Manajemen Keuangan personal, </w:t>
      </w:r>
      <w:proofErr w:type="spellStart"/>
      <w:r w:rsidRPr="00C27AA6">
        <w:rPr>
          <w:sz w:val="22"/>
          <w:szCs w:val="22"/>
          <w:lang w:val="en-US"/>
        </w:rPr>
        <w:t>menunjukan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bahwa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pentingnya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Literasi</w:t>
      </w:r>
      <w:proofErr w:type="spellEnd"/>
      <w:r w:rsidRPr="00C27AA6">
        <w:rPr>
          <w:sz w:val="22"/>
          <w:szCs w:val="22"/>
          <w:lang w:val="en-US"/>
        </w:rPr>
        <w:t xml:space="preserve"> Keuangan </w:t>
      </w:r>
      <w:proofErr w:type="spellStart"/>
      <w:r w:rsidRPr="00C27AA6">
        <w:rPr>
          <w:sz w:val="22"/>
          <w:szCs w:val="22"/>
          <w:lang w:val="en-US"/>
        </w:rPr>
        <w:t>bagi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kesejahteraan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dengan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maraknya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investasi</w:t>
      </w:r>
      <w:proofErr w:type="spellEnd"/>
      <w:r w:rsidRPr="00C27AA6">
        <w:rPr>
          <w:sz w:val="22"/>
          <w:szCs w:val="22"/>
          <w:lang w:val="en-US"/>
        </w:rPr>
        <w:t xml:space="preserve"> illegal agar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 tidak </w:t>
      </w:r>
      <w:proofErr w:type="spellStart"/>
      <w:r w:rsidRPr="00C27AA6">
        <w:rPr>
          <w:sz w:val="22"/>
          <w:szCs w:val="22"/>
          <w:lang w:val="en-US"/>
        </w:rPr>
        <w:t>mudah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tertipu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dengan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adanya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penawaran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investasi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berkedok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pengambilan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tingkat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bunganya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tinggi</w:t>
      </w:r>
      <w:proofErr w:type="spellEnd"/>
      <w:r w:rsidRPr="00C27AA6">
        <w:rPr>
          <w:sz w:val="22"/>
          <w:szCs w:val="22"/>
          <w:lang w:val="en-US"/>
        </w:rPr>
        <w:t xml:space="preserve">. </w:t>
      </w:r>
    </w:p>
    <w:p w14:paraId="25DE59F5" w14:textId="77777777" w:rsidR="00922D65" w:rsidRPr="00C27AA6" w:rsidRDefault="00922D65" w:rsidP="00C27AA6">
      <w:pPr>
        <w:pStyle w:val="ListParagraph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ini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dilakukan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dalam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lingkup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terbatas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yaitu</w:t>
      </w:r>
      <w:proofErr w:type="spellEnd"/>
      <w:r w:rsidRPr="00C27AA6">
        <w:rPr>
          <w:sz w:val="22"/>
          <w:szCs w:val="22"/>
          <w:lang w:val="en-US"/>
        </w:rPr>
        <w:t xml:space="preserve"> di </w:t>
      </w:r>
      <w:proofErr w:type="spellStart"/>
      <w:r w:rsidRPr="00C27AA6">
        <w:rPr>
          <w:sz w:val="22"/>
          <w:szCs w:val="22"/>
          <w:lang w:val="en-US"/>
        </w:rPr>
        <w:t>kalangan</w:t>
      </w:r>
      <w:proofErr w:type="spellEnd"/>
      <w:r w:rsidRPr="00C27AA6">
        <w:rPr>
          <w:sz w:val="22"/>
          <w:szCs w:val="22"/>
          <w:lang w:val="en-US"/>
        </w:rPr>
        <w:t xml:space="preserve"> Guru PNS dan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diteliti</w:t>
      </w:r>
      <w:proofErr w:type="spellEnd"/>
      <w:r w:rsidRPr="00C27AA6">
        <w:rPr>
          <w:sz w:val="22"/>
          <w:szCs w:val="22"/>
          <w:lang w:val="en-US"/>
        </w:rPr>
        <w:t xml:space="preserve"> juga </w:t>
      </w:r>
      <w:proofErr w:type="spellStart"/>
      <w:r w:rsidRPr="00C27AA6">
        <w:rPr>
          <w:sz w:val="22"/>
          <w:szCs w:val="22"/>
          <w:lang w:val="en-US"/>
        </w:rPr>
        <w:t>masih</w:t>
      </w:r>
      <w:proofErr w:type="spellEnd"/>
      <w:r w:rsidRPr="00C27AA6">
        <w:rPr>
          <w:sz w:val="22"/>
          <w:szCs w:val="22"/>
          <w:lang w:val="en-US"/>
        </w:rPr>
        <w:t xml:space="preserve"> sangat </w:t>
      </w:r>
      <w:proofErr w:type="spellStart"/>
      <w:r w:rsidRPr="00C27AA6">
        <w:rPr>
          <w:sz w:val="22"/>
          <w:szCs w:val="22"/>
          <w:lang w:val="en-US"/>
        </w:rPr>
        <w:t>terbatas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sehingga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perlu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dilakukan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lanjutan</w:t>
      </w:r>
      <w:proofErr w:type="spellEnd"/>
      <w:r w:rsidRPr="00C27AA6">
        <w:rPr>
          <w:sz w:val="22"/>
          <w:szCs w:val="22"/>
          <w:lang w:val="en-US"/>
        </w:rPr>
        <w:t xml:space="preserve">.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itu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bagi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peneliti-peneliti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lainnya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berminat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meneliti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hal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sama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disarankan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melakukan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dalam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lingkup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masyarakat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lebih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luas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dengan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variabel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lebih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banyak</w:t>
      </w:r>
      <w:proofErr w:type="spellEnd"/>
      <w:r w:rsidRPr="00C27AA6">
        <w:rPr>
          <w:sz w:val="22"/>
          <w:szCs w:val="22"/>
          <w:lang w:val="en-US"/>
        </w:rPr>
        <w:t>.</w:t>
      </w:r>
    </w:p>
    <w:p w14:paraId="72C7BB68" w14:textId="2C2F18FD" w:rsidR="00922D65" w:rsidRPr="00C27AA6" w:rsidRDefault="00922D65" w:rsidP="00C27AA6">
      <w:pPr>
        <w:pStyle w:val="ListParagraph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  <w:lang w:val="en-US"/>
        </w:rPr>
      </w:pPr>
      <w:proofErr w:type="spellStart"/>
      <w:r w:rsidRPr="00C27AA6">
        <w:rPr>
          <w:sz w:val="22"/>
          <w:szCs w:val="22"/>
          <w:lang w:val="en-US"/>
        </w:rPr>
        <w:t>Saat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ini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belum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banyak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literatur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membahas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masalah</w:t>
      </w:r>
      <w:proofErr w:type="spellEnd"/>
      <w:r w:rsidRPr="00C27AA6">
        <w:rPr>
          <w:sz w:val="22"/>
          <w:szCs w:val="22"/>
          <w:lang w:val="en-US"/>
        </w:rPr>
        <w:t xml:space="preserve"> Praktik </w:t>
      </w:r>
      <w:proofErr w:type="spellStart"/>
      <w:r w:rsidRPr="00C27AA6">
        <w:rPr>
          <w:sz w:val="22"/>
          <w:szCs w:val="22"/>
          <w:lang w:val="en-US"/>
        </w:rPr>
        <w:t>manajemen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 personal dan </w:t>
      </w:r>
      <w:proofErr w:type="spellStart"/>
      <w:r w:rsidRPr="00C27AA6">
        <w:rPr>
          <w:sz w:val="22"/>
          <w:szCs w:val="22"/>
          <w:lang w:val="en-US"/>
        </w:rPr>
        <w:t>literasi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keuangan</w:t>
      </w:r>
      <w:proofErr w:type="spellEnd"/>
      <w:r w:rsidRPr="00C27AA6">
        <w:rPr>
          <w:sz w:val="22"/>
          <w:szCs w:val="22"/>
          <w:lang w:val="en-US"/>
        </w:rPr>
        <w:t xml:space="preserve">, </w:t>
      </w:r>
      <w:proofErr w:type="spellStart"/>
      <w:r w:rsidRPr="00C27AA6">
        <w:rPr>
          <w:sz w:val="22"/>
          <w:szCs w:val="22"/>
          <w:lang w:val="en-US"/>
        </w:rPr>
        <w:t>khususnya</w:t>
      </w:r>
      <w:proofErr w:type="spellEnd"/>
      <w:r w:rsidRPr="00C27AA6">
        <w:rPr>
          <w:sz w:val="22"/>
          <w:szCs w:val="22"/>
          <w:lang w:val="en-US"/>
        </w:rPr>
        <w:t xml:space="preserve"> di Indonesia, </w:t>
      </w:r>
      <w:proofErr w:type="spellStart"/>
      <w:r w:rsidRPr="00C27AA6">
        <w:rPr>
          <w:sz w:val="22"/>
          <w:szCs w:val="22"/>
          <w:lang w:val="en-US"/>
        </w:rPr>
        <w:t>untuk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itu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diharapkan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hasil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penelitian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ini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bisa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menjadi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bahan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literatur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bagi</w:t>
      </w:r>
      <w:proofErr w:type="spellEnd"/>
      <w:r w:rsidRPr="00C27AA6">
        <w:rPr>
          <w:sz w:val="22"/>
          <w:szCs w:val="22"/>
          <w:lang w:val="en-US"/>
        </w:rPr>
        <w:t xml:space="preserve"> yang </w:t>
      </w:r>
      <w:proofErr w:type="spellStart"/>
      <w:r w:rsidRPr="00C27AA6">
        <w:rPr>
          <w:sz w:val="22"/>
          <w:szCs w:val="22"/>
          <w:lang w:val="en-US"/>
        </w:rPr>
        <w:t>memerlukan</w:t>
      </w:r>
      <w:proofErr w:type="spellEnd"/>
      <w:r w:rsidRPr="00C27AA6">
        <w:rPr>
          <w:sz w:val="22"/>
          <w:szCs w:val="22"/>
          <w:lang w:val="en-US"/>
        </w:rPr>
        <w:t xml:space="preserve"> dan </w:t>
      </w:r>
      <w:proofErr w:type="spellStart"/>
      <w:r w:rsidRPr="00C27AA6">
        <w:rPr>
          <w:sz w:val="22"/>
          <w:szCs w:val="22"/>
          <w:lang w:val="en-US"/>
        </w:rPr>
        <w:t>dapat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menjadi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sumbangan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dalam</w:t>
      </w:r>
      <w:proofErr w:type="spellEnd"/>
      <w:r w:rsidRPr="00C27AA6">
        <w:rPr>
          <w:sz w:val="22"/>
          <w:szCs w:val="22"/>
          <w:lang w:val="en-US"/>
        </w:rPr>
        <w:t xml:space="preserve"> </w:t>
      </w:r>
      <w:proofErr w:type="spellStart"/>
      <w:r w:rsidRPr="00C27AA6">
        <w:rPr>
          <w:sz w:val="22"/>
          <w:szCs w:val="22"/>
          <w:lang w:val="en-US"/>
        </w:rPr>
        <w:t>pengembangan</w:t>
      </w:r>
      <w:proofErr w:type="spellEnd"/>
      <w:r w:rsidRPr="00C27AA6">
        <w:rPr>
          <w:sz w:val="22"/>
          <w:szCs w:val="22"/>
          <w:lang w:val="en-US"/>
        </w:rPr>
        <w:t xml:space="preserve"> dunia </w:t>
      </w:r>
      <w:proofErr w:type="spellStart"/>
      <w:r w:rsidRPr="00C27AA6">
        <w:rPr>
          <w:sz w:val="22"/>
          <w:szCs w:val="22"/>
          <w:lang w:val="en-US"/>
        </w:rPr>
        <w:t>keilmuan</w:t>
      </w:r>
      <w:proofErr w:type="spellEnd"/>
      <w:r w:rsidRPr="00C27AA6">
        <w:rPr>
          <w:sz w:val="22"/>
          <w:szCs w:val="22"/>
          <w:lang w:val="en-US"/>
        </w:rPr>
        <w:t>.</w:t>
      </w:r>
    </w:p>
    <w:p w14:paraId="5C24BB1B" w14:textId="77777777" w:rsidR="00922D65" w:rsidRPr="00E51D28" w:rsidRDefault="00922D65" w:rsidP="00E51D28">
      <w:pPr>
        <w:pStyle w:val="Heading1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3" w:name="_Toc105051629"/>
      <w:r w:rsidRPr="00E51D28">
        <w:rPr>
          <w:rFonts w:ascii="Times New Roman" w:hAnsi="Times New Roman" w:cs="Times New Roman"/>
          <w:b/>
          <w:bCs/>
          <w:color w:val="auto"/>
          <w:sz w:val="22"/>
          <w:szCs w:val="22"/>
        </w:rPr>
        <w:t>DAFTAR PUSTAKA</w:t>
      </w:r>
      <w:bookmarkEnd w:id="13"/>
    </w:p>
    <w:p w14:paraId="082AD194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DB6DB47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sz w:val="22"/>
          <w:szCs w:val="22"/>
          <w:lang w:val="en-US"/>
        </w:rPr>
        <w:t>OJK. 2013.</w:t>
      </w: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Strategi Nasional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Literasi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Keuangan Indonesia.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Otoritas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Jasa Keuangan. </w:t>
      </w:r>
    </w:p>
    <w:p w14:paraId="1B071BB2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ABE3A87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Nyamute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proofErr w:type="spellStart"/>
      <w:r w:rsidRPr="00C27AA6">
        <w:rPr>
          <w:rFonts w:ascii="Times New Roman" w:hAnsi="Times New Roman" w:cs="Times New Roman"/>
          <w:sz w:val="22"/>
          <w:szCs w:val="22"/>
          <w:lang w:val="en-US"/>
        </w:rPr>
        <w:t>Maina</w:t>
      </w:r>
      <w:proofErr w:type="spell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gramStart"/>
      <w:r w:rsidRPr="00C27AA6">
        <w:rPr>
          <w:rFonts w:ascii="Times New Roman" w:hAnsi="Times New Roman" w:cs="Times New Roman"/>
          <w:sz w:val="22"/>
          <w:szCs w:val="22"/>
          <w:lang w:val="en-US"/>
        </w:rPr>
        <w:t>2010 .</w:t>
      </w:r>
      <w:proofErr w:type="gramEnd"/>
      <w:r w:rsidRPr="00C27A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Effect Of Financial Literacy On Personal Financial Management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Practices :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A Case Study Of Employees Of Finance And Banking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Instituitions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Departement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Of Finance and </w:t>
      </w: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Accounting,School</w:t>
      </w:r>
      <w:proofErr w:type="spellEnd"/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Of Business, University Of Nairobi.</w:t>
      </w:r>
    </w:p>
    <w:p w14:paraId="6ED83617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77A003AB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Wiharno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2015 .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Karakteristik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Sosial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Ekonomi yang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mempengaruhi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Literasi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Keuangan Serta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Dampaknya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Terhadap Manajemen Keuangan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Personal :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Survei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Pada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Pegwai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Negri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Sipil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Daerah Di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Kabupaten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Kuningan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. </w:t>
      </w:r>
    </w:p>
    <w:p w14:paraId="50B9A5F0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7D1FDAE6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Jodi L.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Parrotta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and Phyllis J. Johnson.1998. </w:t>
      </w:r>
      <w:r w:rsidRPr="00C27AA6">
        <w:rPr>
          <w:rFonts w:ascii="Times New Roman" w:hAnsi="Times New Roman" w:cs="Times New Roman"/>
          <w:i/>
          <w:sz w:val="22"/>
          <w:szCs w:val="22"/>
        </w:rPr>
        <w:t>The impact of financial attitudes and knowledge on financial management and satisfaction of recently married individuals</w:t>
      </w:r>
      <w:r w:rsidRPr="00C27AA6">
        <w:rPr>
          <w:rFonts w:ascii="Times New Roman" w:hAnsi="Times New Roman" w:cs="Times New Roman"/>
          <w:sz w:val="22"/>
          <w:szCs w:val="22"/>
        </w:rPr>
        <w:t>. Association for Financial Counselling and Planning, Vol. 9(2).</w:t>
      </w:r>
    </w:p>
    <w:p w14:paraId="4A1DAD47" w14:textId="77777777" w:rsidR="00922D65" w:rsidRPr="00C27AA6" w:rsidRDefault="00922D65" w:rsidP="00C27AA6">
      <w:pPr>
        <w:spacing w:line="276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6F8D6338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Jump$tart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Coalition for Personal Financial Literacy. 2007. </w:t>
      </w:r>
      <w:r w:rsidRPr="00C27AA6">
        <w:rPr>
          <w:rFonts w:ascii="Times New Roman" w:hAnsi="Times New Roman" w:cs="Times New Roman"/>
          <w:i/>
          <w:iCs/>
          <w:sz w:val="22"/>
          <w:szCs w:val="22"/>
        </w:rPr>
        <w:t xml:space="preserve">National standards in k-12 personal financial education </w:t>
      </w:r>
      <w:r w:rsidRPr="00C27AA6">
        <w:rPr>
          <w:rFonts w:ascii="Times New Roman" w:hAnsi="Times New Roman" w:cs="Times New Roman"/>
          <w:sz w:val="22"/>
          <w:szCs w:val="22"/>
        </w:rPr>
        <w:t xml:space="preserve">(3rd ed.). Available from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Jump$tart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Coalition® for Personal Financial Literacy Web site, </w:t>
      </w:r>
      <w:hyperlink r:id="rId17" w:history="1">
        <w:r w:rsidRPr="00C27AA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http://www.jumpstart.org</w:t>
        </w:r>
      </w:hyperlink>
    </w:p>
    <w:p w14:paraId="1E2440CD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D6A9D9" w14:textId="77777777" w:rsidR="00922D65" w:rsidRPr="00C27AA6" w:rsidRDefault="00922D65" w:rsidP="00C27AA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C27AA6">
        <w:rPr>
          <w:bCs/>
          <w:sz w:val="22"/>
          <w:szCs w:val="22"/>
        </w:rPr>
        <w:t xml:space="preserve">Sulaeman Rahman Nidar </w:t>
      </w:r>
      <w:proofErr w:type="spellStart"/>
      <w:r w:rsidRPr="00C27AA6">
        <w:rPr>
          <w:bCs/>
          <w:sz w:val="22"/>
          <w:szCs w:val="22"/>
        </w:rPr>
        <w:t>and</w:t>
      </w:r>
      <w:proofErr w:type="spellEnd"/>
      <w:r w:rsidRPr="00C27AA6">
        <w:rPr>
          <w:bCs/>
          <w:sz w:val="22"/>
          <w:szCs w:val="22"/>
        </w:rPr>
        <w:t xml:space="preserve"> Sandi Bestari. </w:t>
      </w:r>
      <w:r w:rsidRPr="00C27AA6">
        <w:rPr>
          <w:sz w:val="22"/>
          <w:szCs w:val="22"/>
        </w:rPr>
        <w:t xml:space="preserve"> 2012. </w:t>
      </w:r>
      <w:r w:rsidRPr="00C27AA6">
        <w:rPr>
          <w:bCs/>
          <w:i/>
          <w:sz w:val="22"/>
          <w:szCs w:val="22"/>
        </w:rPr>
        <w:t xml:space="preserve">Personal Financial </w:t>
      </w:r>
      <w:proofErr w:type="spellStart"/>
      <w:r w:rsidRPr="00C27AA6">
        <w:rPr>
          <w:bCs/>
          <w:i/>
          <w:sz w:val="22"/>
          <w:szCs w:val="22"/>
        </w:rPr>
        <w:t>Literacy</w:t>
      </w:r>
      <w:proofErr w:type="spellEnd"/>
      <w:r w:rsidRPr="00C27AA6">
        <w:rPr>
          <w:bCs/>
          <w:i/>
          <w:sz w:val="22"/>
          <w:szCs w:val="22"/>
        </w:rPr>
        <w:t xml:space="preserve"> </w:t>
      </w:r>
      <w:proofErr w:type="spellStart"/>
      <w:r w:rsidRPr="00C27AA6">
        <w:rPr>
          <w:bCs/>
          <w:i/>
          <w:sz w:val="22"/>
          <w:szCs w:val="22"/>
        </w:rPr>
        <w:t>Among</w:t>
      </w:r>
      <w:proofErr w:type="spellEnd"/>
      <w:r w:rsidRPr="00C27AA6">
        <w:rPr>
          <w:bCs/>
          <w:i/>
          <w:sz w:val="22"/>
          <w:szCs w:val="22"/>
        </w:rPr>
        <w:t xml:space="preserve"> </w:t>
      </w:r>
      <w:proofErr w:type="spellStart"/>
      <w:r w:rsidRPr="00C27AA6">
        <w:rPr>
          <w:bCs/>
          <w:i/>
          <w:sz w:val="22"/>
          <w:szCs w:val="22"/>
        </w:rPr>
        <w:t>University</w:t>
      </w:r>
      <w:proofErr w:type="spellEnd"/>
      <w:r w:rsidRPr="00C27AA6">
        <w:rPr>
          <w:bCs/>
          <w:i/>
          <w:sz w:val="22"/>
          <w:szCs w:val="22"/>
        </w:rPr>
        <w:t xml:space="preserve"> </w:t>
      </w:r>
      <w:proofErr w:type="spellStart"/>
      <w:r w:rsidRPr="00C27AA6">
        <w:rPr>
          <w:bCs/>
          <w:i/>
          <w:sz w:val="22"/>
          <w:szCs w:val="22"/>
        </w:rPr>
        <w:t>Students</w:t>
      </w:r>
      <w:proofErr w:type="spellEnd"/>
      <w:r w:rsidRPr="00C27AA6">
        <w:rPr>
          <w:bCs/>
          <w:sz w:val="22"/>
          <w:szCs w:val="22"/>
        </w:rPr>
        <w:t xml:space="preserve">. </w:t>
      </w:r>
      <w:r w:rsidRPr="00C27AA6">
        <w:rPr>
          <w:sz w:val="22"/>
          <w:szCs w:val="22"/>
        </w:rPr>
        <w:t xml:space="preserve"> </w:t>
      </w:r>
      <w:r w:rsidRPr="00C27AA6">
        <w:rPr>
          <w:iCs/>
          <w:sz w:val="22"/>
          <w:szCs w:val="22"/>
        </w:rPr>
        <w:t xml:space="preserve">World </w:t>
      </w:r>
      <w:proofErr w:type="spellStart"/>
      <w:r w:rsidRPr="00C27AA6">
        <w:rPr>
          <w:iCs/>
          <w:sz w:val="22"/>
          <w:szCs w:val="22"/>
        </w:rPr>
        <w:t>Journal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of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Social</w:t>
      </w:r>
      <w:proofErr w:type="spellEnd"/>
      <w:r w:rsidRPr="00C27AA6">
        <w:rPr>
          <w:iCs/>
          <w:sz w:val="22"/>
          <w:szCs w:val="22"/>
        </w:rPr>
        <w:t xml:space="preserve"> </w:t>
      </w:r>
      <w:proofErr w:type="spellStart"/>
      <w:r w:rsidRPr="00C27AA6">
        <w:rPr>
          <w:iCs/>
          <w:sz w:val="22"/>
          <w:szCs w:val="22"/>
        </w:rPr>
        <w:t>Sciences</w:t>
      </w:r>
      <w:proofErr w:type="spellEnd"/>
      <w:r w:rsidRPr="00C27AA6">
        <w:rPr>
          <w:iCs/>
          <w:sz w:val="22"/>
          <w:szCs w:val="22"/>
        </w:rPr>
        <w:t xml:space="preserve"> Vol. 2. No. 4. July 2012. Pp. 162 – 171.</w:t>
      </w:r>
    </w:p>
    <w:p w14:paraId="193EDE93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ED60E1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Prawiro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2021 .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Pengaruh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Keadaan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Demografi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Sosial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Ekonomi Terhadap Manajemen Keuangan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Pribadi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Melalui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Literasi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Keuangan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Pegawai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Blud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RSUD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Bayung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Lencir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</w:p>
    <w:p w14:paraId="7CAA6968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309ABA89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proofErr w:type="gramStart"/>
      <w:r w:rsidRPr="00C27AA6">
        <w:rPr>
          <w:rFonts w:ascii="Times New Roman" w:hAnsi="Times New Roman" w:cs="Times New Roman"/>
          <w:sz w:val="22"/>
          <w:szCs w:val="22"/>
        </w:rPr>
        <w:t>Detik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7AA6">
        <w:rPr>
          <w:rFonts w:ascii="Times New Roman" w:hAnsi="Times New Roman" w:cs="Times New Roman"/>
          <w:sz w:val="22"/>
          <w:szCs w:val="22"/>
        </w:rPr>
        <w:t>2013 .</w:t>
      </w:r>
      <w:proofErr w:type="gram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hyperlink r:id="rId18" w:history="1">
        <w:r w:rsidRPr="00C27AA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http://www.finance.detik.com/</w:t>
        </w:r>
      </w:hyperlink>
      <w:r w:rsidRPr="00C27AA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AF2E812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13BDCD43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Vitt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Lois, Carol Anderson, Jamie Kent, Deanna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Lyter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Jurg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Siegenthaler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and Jeremy Ward. 2000. </w:t>
      </w:r>
      <w:r w:rsidRPr="00C27AA6">
        <w:rPr>
          <w:rFonts w:ascii="Times New Roman" w:hAnsi="Times New Roman" w:cs="Times New Roman"/>
          <w:i/>
          <w:sz w:val="22"/>
          <w:szCs w:val="22"/>
        </w:rPr>
        <w:t>Personal Finance and the Rush to Competence: Financial Literacy Education in the US</w:t>
      </w:r>
      <w:r w:rsidRPr="00C27AA6">
        <w:rPr>
          <w:rFonts w:ascii="Times New Roman" w:hAnsi="Times New Roman" w:cs="Times New Roman"/>
          <w:sz w:val="22"/>
          <w:szCs w:val="22"/>
        </w:rPr>
        <w:t>. National Field Study Commissioned by the Fannie Mae Foundation. Institute for Socio-Financial Studies.</w:t>
      </w:r>
    </w:p>
    <w:p w14:paraId="73784B31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68E99E6B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Atkinson, A. and F. Messy. 2012, </w:t>
      </w:r>
      <w:r w:rsidRPr="00C27AA6">
        <w:rPr>
          <w:rFonts w:ascii="Times New Roman" w:hAnsi="Times New Roman" w:cs="Times New Roman"/>
          <w:i/>
          <w:sz w:val="22"/>
          <w:szCs w:val="22"/>
        </w:rPr>
        <w:t>Measuring Financial Literacy: Results of the OECD / International Network on Financial Education (INFE) Pilot Study</w:t>
      </w:r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r w:rsidRPr="00C27AA6">
        <w:rPr>
          <w:rFonts w:ascii="Times New Roman" w:hAnsi="Times New Roman" w:cs="Times New Roman"/>
          <w:i/>
          <w:iCs/>
          <w:sz w:val="22"/>
          <w:szCs w:val="22"/>
        </w:rPr>
        <w:t>OECD Working Papers on Finance, Insurance and Private Pensions</w:t>
      </w:r>
      <w:r w:rsidRPr="00C27AA6">
        <w:rPr>
          <w:rFonts w:ascii="Times New Roman" w:hAnsi="Times New Roman" w:cs="Times New Roman"/>
          <w:sz w:val="22"/>
          <w:szCs w:val="22"/>
        </w:rPr>
        <w:t>, No. 15, OECD Publishing</w:t>
      </w:r>
      <w:r w:rsidRPr="00C27A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hyperlink r:id="rId19" w:history="1">
        <w:r w:rsidRPr="00C27AA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http://dx.doi.org/10.1787/5k9csfs90fr4-en</w:t>
        </w:r>
      </w:hyperlink>
      <w:r w:rsidRPr="00C27AA6">
        <w:rPr>
          <w:rFonts w:ascii="Times New Roman" w:hAnsi="Times New Roman" w:cs="Times New Roman"/>
          <w:sz w:val="22"/>
          <w:szCs w:val="22"/>
        </w:rPr>
        <w:t>.</w:t>
      </w:r>
    </w:p>
    <w:p w14:paraId="656F6661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B78C93" w14:textId="77777777" w:rsidR="00922D65" w:rsidRPr="00C27AA6" w:rsidRDefault="00922D65" w:rsidP="00C27AA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27AA6">
        <w:rPr>
          <w:sz w:val="22"/>
          <w:szCs w:val="22"/>
        </w:rPr>
        <w:t xml:space="preserve">Ayu K, Maya S &amp; Rofi R. 2010. </w:t>
      </w:r>
      <w:r w:rsidRPr="00C27AA6">
        <w:rPr>
          <w:i/>
          <w:iCs/>
          <w:sz w:val="22"/>
          <w:szCs w:val="22"/>
        </w:rPr>
        <w:t xml:space="preserve">Analisis Tingkat </w:t>
      </w:r>
      <w:proofErr w:type="spellStart"/>
      <w:r w:rsidRPr="00C27AA6">
        <w:rPr>
          <w:i/>
          <w:iCs/>
          <w:sz w:val="22"/>
          <w:szCs w:val="22"/>
        </w:rPr>
        <w:t>Literasi</w:t>
      </w:r>
      <w:proofErr w:type="spellEnd"/>
      <w:r w:rsidRPr="00C27AA6">
        <w:rPr>
          <w:i/>
          <w:iCs/>
          <w:sz w:val="22"/>
          <w:szCs w:val="22"/>
        </w:rPr>
        <w:t xml:space="preserve"> Keuangan di kalangan mahasiswa dan faktor-faktor yang mempengaruhinya - </w:t>
      </w:r>
      <w:proofErr w:type="spellStart"/>
      <w:r w:rsidRPr="00C27AA6">
        <w:rPr>
          <w:i/>
          <w:iCs/>
          <w:sz w:val="22"/>
          <w:szCs w:val="22"/>
        </w:rPr>
        <w:t>survey</w:t>
      </w:r>
      <w:proofErr w:type="spellEnd"/>
      <w:r w:rsidRPr="00C27AA6">
        <w:rPr>
          <w:i/>
          <w:iCs/>
          <w:sz w:val="22"/>
          <w:szCs w:val="22"/>
        </w:rPr>
        <w:t xml:space="preserve"> pada mahasiswa Universitas Pendidikan  Indonesia </w:t>
      </w:r>
      <w:r w:rsidRPr="00C27AA6">
        <w:rPr>
          <w:i/>
          <w:iCs/>
          <w:color w:val="auto"/>
          <w:sz w:val="22"/>
          <w:szCs w:val="22"/>
        </w:rPr>
        <w:t>&lt;</w:t>
      </w:r>
      <w:hyperlink r:id="rId20" w:history="1">
        <w:r w:rsidRPr="00C27AA6">
          <w:rPr>
            <w:rStyle w:val="Hyperlink"/>
            <w:color w:val="auto"/>
            <w:sz w:val="22"/>
            <w:szCs w:val="22"/>
          </w:rPr>
          <w:t xml:space="preserve">http://www.file.upi.edu/Direktori L-FPEB </w:t>
        </w:r>
        <w:proofErr w:type="spellStart"/>
        <w:r w:rsidRPr="00C27AA6">
          <w:rPr>
            <w:rStyle w:val="Hyperlink"/>
            <w:color w:val="auto"/>
            <w:sz w:val="22"/>
            <w:szCs w:val="22"/>
          </w:rPr>
          <w:t>Prodi</w:t>
        </w:r>
        <w:proofErr w:type="spellEnd"/>
        <w:r w:rsidRPr="00C27AA6">
          <w:rPr>
            <w:rStyle w:val="Hyperlink"/>
            <w:color w:val="auto"/>
            <w:sz w:val="22"/>
            <w:szCs w:val="22"/>
          </w:rPr>
          <w:t xml:space="preserve"> Manajemen.html</w:t>
        </w:r>
      </w:hyperlink>
      <w:r w:rsidRPr="00C27AA6">
        <w:rPr>
          <w:color w:val="auto"/>
          <w:sz w:val="22"/>
          <w:szCs w:val="22"/>
        </w:rPr>
        <w:t>&gt;</w:t>
      </w:r>
    </w:p>
    <w:p w14:paraId="0598CE7B" w14:textId="77777777" w:rsidR="00922D65" w:rsidRPr="00C27AA6" w:rsidRDefault="00922D65" w:rsidP="00C27AA6">
      <w:pPr>
        <w:pStyle w:val="Default"/>
        <w:spacing w:line="276" w:lineRule="auto"/>
        <w:jc w:val="both"/>
        <w:rPr>
          <w:sz w:val="22"/>
          <w:szCs w:val="22"/>
        </w:rPr>
      </w:pPr>
    </w:p>
    <w:p w14:paraId="5235E786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Dinas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Budaya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dan </w:t>
      </w: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Kependudukan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2021 .</w:t>
      </w:r>
      <w:proofErr w:type="gramEnd"/>
    </w:p>
    <w:p w14:paraId="78FFEB46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Open Data </w:t>
      </w: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Jabar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2020 .</w:t>
      </w:r>
      <w:proofErr w:type="gramEnd"/>
    </w:p>
    <w:p w14:paraId="0CF1D657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B88F76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648320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Bowen, Cathy. 2003. </w:t>
      </w:r>
      <w:r w:rsidRPr="00C27AA6">
        <w:rPr>
          <w:rFonts w:ascii="Times New Roman" w:hAnsi="Times New Roman" w:cs="Times New Roman"/>
          <w:i/>
          <w:sz w:val="22"/>
          <w:szCs w:val="22"/>
        </w:rPr>
        <w:t>Financial Knowledge of Teens and Their Parents</w:t>
      </w:r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r w:rsidRPr="00C27AA6">
        <w:rPr>
          <w:rFonts w:ascii="Times New Roman" w:hAnsi="Times New Roman" w:cs="Times New Roman"/>
          <w:iCs/>
          <w:sz w:val="22"/>
          <w:szCs w:val="22"/>
        </w:rPr>
        <w:t xml:space="preserve">Financial </w:t>
      </w:r>
      <w:proofErr w:type="spellStart"/>
      <w:r w:rsidRPr="00C27AA6">
        <w:rPr>
          <w:rFonts w:ascii="Times New Roman" w:hAnsi="Times New Roman" w:cs="Times New Roman"/>
          <w:iCs/>
          <w:sz w:val="22"/>
          <w:szCs w:val="22"/>
        </w:rPr>
        <w:t>Counseling</w:t>
      </w:r>
      <w:proofErr w:type="spellEnd"/>
      <w:r w:rsidRPr="00C27AA6">
        <w:rPr>
          <w:rFonts w:ascii="Times New Roman" w:hAnsi="Times New Roman" w:cs="Times New Roman"/>
          <w:iCs/>
          <w:sz w:val="22"/>
          <w:szCs w:val="22"/>
        </w:rPr>
        <w:t xml:space="preserve"> and Planning </w:t>
      </w:r>
      <w:r w:rsidRPr="00C27AA6">
        <w:rPr>
          <w:rFonts w:ascii="Times New Roman" w:hAnsi="Times New Roman" w:cs="Times New Roman"/>
          <w:sz w:val="22"/>
          <w:szCs w:val="22"/>
        </w:rPr>
        <w:t>13 (February): 93-102.</w:t>
      </w:r>
    </w:p>
    <w:p w14:paraId="5607339F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6D544229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Style w:val="CharAttribute3"/>
          <w:rFonts w:eastAsia="Batang" w:hAnsi="Times New Roman" w:cs="Times New Roman"/>
          <w:sz w:val="22"/>
          <w:szCs w:val="22"/>
        </w:rPr>
        <w:t>Rajna</w:t>
      </w:r>
      <w:proofErr w:type="spellEnd"/>
      <w:r w:rsidRPr="00C27AA6">
        <w:rPr>
          <w:rStyle w:val="CharAttribute3"/>
          <w:rFonts w:eastAsia="Batang" w:hAnsi="Times New Roman" w:cs="Times New Roman"/>
          <w:sz w:val="22"/>
          <w:szCs w:val="22"/>
        </w:rPr>
        <w:t xml:space="preserve">, A. R, </w:t>
      </w:r>
      <w:r w:rsidRPr="00C27AA6">
        <w:rPr>
          <w:rFonts w:ascii="Times New Roman" w:hAnsi="Times New Roman" w:cs="Times New Roman"/>
          <w:sz w:val="22"/>
          <w:szCs w:val="22"/>
        </w:rPr>
        <w:t xml:space="preserve">WP. Sharifah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Ezat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Syed Al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Junid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and H. Moshiri</w:t>
      </w:r>
      <w:r w:rsidRPr="00C27AA6">
        <w:rPr>
          <w:rStyle w:val="CharAttribute3"/>
          <w:rFonts w:eastAsia="Batang" w:hAnsi="Times New Roman" w:cs="Times New Roman"/>
          <w:sz w:val="22"/>
          <w:szCs w:val="22"/>
        </w:rPr>
        <w:t xml:space="preserve"> .2011. </w:t>
      </w:r>
      <w:r w:rsidRPr="00C27AA6">
        <w:rPr>
          <w:rFonts w:ascii="Times New Roman" w:hAnsi="Times New Roman" w:cs="Times New Roman"/>
          <w:i/>
          <w:sz w:val="22"/>
          <w:szCs w:val="22"/>
        </w:rPr>
        <w:t>Financial Management Attitude and Practice among the Medical Practitioners in Public and Private Medical Service in Malaysia</w:t>
      </w:r>
      <w:r w:rsidRPr="00C27AA6">
        <w:rPr>
          <w:rFonts w:ascii="Times New Roman" w:hAnsi="Times New Roman" w:cs="Times New Roman"/>
          <w:sz w:val="22"/>
          <w:szCs w:val="22"/>
        </w:rPr>
        <w:t>. International Journal of Business and Management. Vol. 6, No. 8; August 2011.</w:t>
      </w:r>
    </w:p>
    <w:p w14:paraId="547B1235" w14:textId="77777777" w:rsidR="00922D65" w:rsidRPr="00C27AA6" w:rsidRDefault="00922D65" w:rsidP="00C27AA6">
      <w:pPr>
        <w:pStyle w:val="Heading2"/>
        <w:spacing w:line="276" w:lineRule="auto"/>
        <w:rPr>
          <w:rFonts w:ascii="Times New Roman" w:hAnsi="Times New Roman" w:cs="Times New Roman"/>
          <w:i w:val="0"/>
          <w:sz w:val="22"/>
          <w:szCs w:val="22"/>
        </w:rPr>
      </w:pPr>
    </w:p>
    <w:p w14:paraId="10766A13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Kompas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2019 .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hyperlink r:id="rId21" w:history="1">
        <w:r w:rsidRPr="00C27AA6">
          <w:rPr>
            <w:rFonts w:ascii="Times New Roman" w:hAnsi="Times New Roman" w:cs="Times New Roman"/>
            <w:i/>
            <w:sz w:val="22"/>
            <w:szCs w:val="22"/>
            <w:lang w:val="en-US"/>
          </w:rPr>
          <w:t>https://kompaspedia.kompas.id</w:t>
        </w:r>
      </w:hyperlink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</w:p>
    <w:p w14:paraId="29D0272E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317BE61B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Data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book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2019. </w:t>
      </w:r>
      <w:hyperlink r:id="rId22" w:history="1">
        <w:r w:rsidRPr="00C27AA6">
          <w:rPr>
            <w:rStyle w:val="Hyperlink"/>
            <w:rFonts w:ascii="Times New Roman" w:hAnsi="Times New Roman" w:cs="Times New Roman"/>
            <w:i/>
            <w:color w:val="000000" w:themeColor="text1"/>
            <w:sz w:val="22"/>
            <w:szCs w:val="22"/>
            <w:lang w:val="en-US"/>
          </w:rPr>
          <w:t>https://databoks.katadata.co.id</w:t>
        </w:r>
      </w:hyperlink>
    </w:p>
    <w:p w14:paraId="79375DD7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5C17FE9C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Menpan</w:t>
      </w:r>
      <w:proofErr w:type="spell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>2017 .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hyperlink r:id="rId23" w:history="1">
        <w:r w:rsidRPr="00C27AA6">
          <w:rPr>
            <w:rFonts w:ascii="Times New Roman" w:hAnsi="Times New Roman" w:cs="Times New Roman"/>
            <w:i/>
            <w:sz w:val="22"/>
            <w:szCs w:val="22"/>
            <w:lang w:val="en-US"/>
          </w:rPr>
          <w:t>https://www.menpan.go.id</w:t>
        </w:r>
      </w:hyperlink>
    </w:p>
    <w:p w14:paraId="1F8F8A1B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B1E2B5" w14:textId="77777777" w:rsidR="00922D65" w:rsidRPr="00C27AA6" w:rsidRDefault="00922D65" w:rsidP="00C27AA6">
      <w:pPr>
        <w:pStyle w:val="Default"/>
        <w:spacing w:line="276" w:lineRule="auto"/>
        <w:jc w:val="both"/>
        <w:rPr>
          <w:sz w:val="22"/>
          <w:szCs w:val="22"/>
          <w:lang w:eastAsia="id-ID"/>
        </w:rPr>
      </w:pPr>
      <w:proofErr w:type="spellStart"/>
      <w:r w:rsidRPr="00C27AA6">
        <w:rPr>
          <w:sz w:val="22"/>
          <w:szCs w:val="22"/>
          <w:lang w:eastAsia="id-ID"/>
        </w:rPr>
        <w:t>Falahati</w:t>
      </w:r>
      <w:proofErr w:type="spellEnd"/>
      <w:r w:rsidRPr="00C27AA6">
        <w:rPr>
          <w:sz w:val="22"/>
          <w:szCs w:val="22"/>
          <w:lang w:eastAsia="id-ID"/>
        </w:rPr>
        <w:t xml:space="preserve">, Leila </w:t>
      </w:r>
      <w:proofErr w:type="spellStart"/>
      <w:r w:rsidRPr="00C27AA6">
        <w:rPr>
          <w:sz w:val="22"/>
          <w:szCs w:val="22"/>
          <w:lang w:eastAsia="id-ID"/>
        </w:rPr>
        <w:t>and</w:t>
      </w:r>
      <w:proofErr w:type="spellEnd"/>
      <w:r w:rsidRPr="00C27AA6">
        <w:rPr>
          <w:sz w:val="22"/>
          <w:szCs w:val="22"/>
          <w:lang w:eastAsia="id-ID"/>
        </w:rPr>
        <w:t xml:space="preserve"> Laily H. </w:t>
      </w:r>
      <w:proofErr w:type="spellStart"/>
      <w:r w:rsidRPr="00C27AA6">
        <w:rPr>
          <w:sz w:val="22"/>
          <w:szCs w:val="22"/>
          <w:lang w:eastAsia="id-ID"/>
        </w:rPr>
        <w:t>Paim</w:t>
      </w:r>
      <w:proofErr w:type="spellEnd"/>
      <w:r w:rsidRPr="00C27AA6">
        <w:rPr>
          <w:sz w:val="22"/>
          <w:szCs w:val="22"/>
          <w:lang w:eastAsia="id-ID"/>
        </w:rPr>
        <w:t xml:space="preserve">. 2011. </w:t>
      </w:r>
      <w:proofErr w:type="spellStart"/>
      <w:r w:rsidRPr="00C27AA6">
        <w:rPr>
          <w:i/>
          <w:sz w:val="22"/>
          <w:szCs w:val="22"/>
          <w:lang w:eastAsia="id-ID"/>
        </w:rPr>
        <w:t>Toward</w:t>
      </w:r>
      <w:proofErr w:type="spellEnd"/>
      <w:r w:rsidRPr="00C27AA6">
        <w:rPr>
          <w:i/>
          <w:sz w:val="22"/>
          <w:szCs w:val="22"/>
          <w:lang w:eastAsia="id-ID"/>
        </w:rPr>
        <w:t xml:space="preserve"> a </w:t>
      </w:r>
      <w:proofErr w:type="spellStart"/>
      <w:r w:rsidRPr="00C27AA6">
        <w:rPr>
          <w:i/>
          <w:sz w:val="22"/>
          <w:szCs w:val="22"/>
          <w:lang w:eastAsia="id-ID"/>
        </w:rPr>
        <w:t>Framework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of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Determinants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of</w:t>
      </w:r>
      <w:proofErr w:type="spellEnd"/>
      <w:r w:rsidRPr="00C27AA6">
        <w:rPr>
          <w:i/>
          <w:sz w:val="22"/>
          <w:szCs w:val="22"/>
          <w:lang w:eastAsia="id-ID"/>
        </w:rPr>
        <w:t xml:space="preserve"> Financial </w:t>
      </w:r>
      <w:proofErr w:type="spellStart"/>
      <w:r w:rsidRPr="00C27AA6">
        <w:rPr>
          <w:i/>
          <w:sz w:val="22"/>
          <w:szCs w:val="22"/>
          <w:lang w:eastAsia="id-ID"/>
        </w:rPr>
        <w:t>Management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and</w:t>
      </w:r>
      <w:proofErr w:type="spellEnd"/>
      <w:r w:rsidRPr="00C27AA6">
        <w:rPr>
          <w:i/>
          <w:sz w:val="22"/>
          <w:szCs w:val="22"/>
          <w:lang w:eastAsia="id-ID"/>
        </w:rPr>
        <w:t xml:space="preserve"> Financial Problem </w:t>
      </w:r>
      <w:proofErr w:type="spellStart"/>
      <w:r w:rsidRPr="00C27AA6">
        <w:rPr>
          <w:i/>
          <w:sz w:val="22"/>
          <w:szCs w:val="22"/>
          <w:lang w:eastAsia="id-ID"/>
        </w:rPr>
        <w:t>Among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University</w:t>
      </w:r>
      <w:proofErr w:type="spellEnd"/>
      <w:r w:rsidRPr="00C27AA6">
        <w:rPr>
          <w:i/>
          <w:sz w:val="22"/>
          <w:szCs w:val="22"/>
          <w:lang w:eastAsia="id-ID"/>
        </w:rPr>
        <w:t xml:space="preserve"> </w:t>
      </w:r>
      <w:proofErr w:type="spellStart"/>
      <w:r w:rsidRPr="00C27AA6">
        <w:rPr>
          <w:i/>
          <w:sz w:val="22"/>
          <w:szCs w:val="22"/>
          <w:lang w:eastAsia="id-ID"/>
        </w:rPr>
        <w:t>students</w:t>
      </w:r>
      <w:proofErr w:type="spellEnd"/>
      <w:r w:rsidRPr="00C27AA6">
        <w:rPr>
          <w:sz w:val="22"/>
          <w:szCs w:val="22"/>
          <w:lang w:eastAsia="id-ID"/>
        </w:rPr>
        <w:t xml:space="preserve">. </w:t>
      </w:r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African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Journal</w:t>
      </w:r>
      <w:proofErr w:type="spellEnd"/>
      <w:r w:rsidRPr="00C27AA6">
        <w:rPr>
          <w:sz w:val="22"/>
          <w:szCs w:val="22"/>
        </w:rPr>
        <w:t xml:space="preserve"> </w:t>
      </w:r>
      <w:proofErr w:type="spellStart"/>
      <w:r w:rsidRPr="00C27AA6">
        <w:rPr>
          <w:sz w:val="22"/>
          <w:szCs w:val="22"/>
        </w:rPr>
        <w:t>of</w:t>
      </w:r>
      <w:proofErr w:type="spellEnd"/>
      <w:r w:rsidRPr="00C27AA6">
        <w:rPr>
          <w:sz w:val="22"/>
          <w:szCs w:val="22"/>
        </w:rPr>
        <w:t xml:space="preserve"> Business </w:t>
      </w:r>
      <w:proofErr w:type="spellStart"/>
      <w:r w:rsidRPr="00C27AA6">
        <w:rPr>
          <w:sz w:val="22"/>
          <w:szCs w:val="22"/>
        </w:rPr>
        <w:t>Management</w:t>
      </w:r>
      <w:proofErr w:type="spellEnd"/>
      <w:r w:rsidRPr="00C27AA6">
        <w:rPr>
          <w:sz w:val="22"/>
          <w:szCs w:val="22"/>
        </w:rPr>
        <w:t xml:space="preserve"> Vol. 5(22),         </w:t>
      </w:r>
      <w:proofErr w:type="spellStart"/>
      <w:r w:rsidRPr="00C27AA6">
        <w:rPr>
          <w:sz w:val="22"/>
          <w:szCs w:val="22"/>
        </w:rPr>
        <w:t>pp</w:t>
      </w:r>
      <w:proofErr w:type="spellEnd"/>
      <w:r w:rsidRPr="00C27AA6">
        <w:rPr>
          <w:sz w:val="22"/>
          <w:szCs w:val="22"/>
        </w:rPr>
        <w:t xml:space="preserve">. 9600-9606, 30 September, 2011. http://www.academicjournals.org/AJBM DOI: 11.5897/AJBM11.1293. </w:t>
      </w:r>
    </w:p>
    <w:p w14:paraId="23531CBC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682301D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Gujarati, Damodaran N., and Porter, Dawn C. 2009. </w:t>
      </w:r>
      <w:r w:rsidRPr="00C27AA6">
        <w:rPr>
          <w:rFonts w:ascii="Times New Roman" w:hAnsi="Times New Roman" w:cs="Times New Roman"/>
          <w:i/>
          <w:sz w:val="22"/>
          <w:szCs w:val="22"/>
        </w:rPr>
        <w:t>Basic Econometrics</w:t>
      </w:r>
      <w:r w:rsidRPr="00C27AA6">
        <w:rPr>
          <w:rFonts w:ascii="Times New Roman" w:hAnsi="Times New Roman" w:cs="Times New Roman"/>
          <w:sz w:val="22"/>
          <w:szCs w:val="22"/>
        </w:rPr>
        <w:t>.  Fifth Edition. McGraw Hill. New York.</w:t>
      </w:r>
    </w:p>
    <w:p w14:paraId="0B7C9DE2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Hilgert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M. A., Hogarth, J. M., &amp; Beverly, S. G. 2003. </w:t>
      </w:r>
      <w:r w:rsidRPr="00C27AA6">
        <w:rPr>
          <w:rFonts w:ascii="Times New Roman" w:hAnsi="Times New Roman" w:cs="Times New Roman"/>
          <w:i/>
          <w:sz w:val="22"/>
          <w:szCs w:val="22"/>
        </w:rPr>
        <w:t xml:space="preserve">Household financial management: The connection between knowledge and </w:t>
      </w:r>
      <w:proofErr w:type="spellStart"/>
      <w:r w:rsidRPr="00C27AA6">
        <w:rPr>
          <w:rFonts w:ascii="Times New Roman" w:hAnsi="Times New Roman" w:cs="Times New Roman"/>
          <w:i/>
          <w:sz w:val="22"/>
          <w:szCs w:val="22"/>
        </w:rPr>
        <w:t>behavior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r w:rsidRPr="00C27AA6">
        <w:rPr>
          <w:rFonts w:ascii="Times New Roman" w:hAnsi="Times New Roman" w:cs="Times New Roman"/>
          <w:iCs/>
          <w:sz w:val="22"/>
          <w:szCs w:val="22"/>
        </w:rPr>
        <w:t>Federal Reserve Bulletin</w:t>
      </w:r>
      <w:r w:rsidRPr="00C27AA6">
        <w:rPr>
          <w:rFonts w:ascii="Times New Roman" w:hAnsi="Times New Roman" w:cs="Times New Roman"/>
          <w:sz w:val="22"/>
          <w:szCs w:val="22"/>
        </w:rPr>
        <w:t xml:space="preserve"> (July), 309-322.</w:t>
      </w:r>
    </w:p>
    <w:p w14:paraId="46C1964E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B018D0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7AA6">
        <w:rPr>
          <w:rFonts w:ascii="Times New Roman" w:hAnsi="Times New Roman" w:cs="Times New Roman"/>
          <w:sz w:val="22"/>
          <w:szCs w:val="22"/>
        </w:rPr>
        <w:t xml:space="preserve">Hogarth, J.M. 2002. </w:t>
      </w:r>
      <w:r w:rsidRPr="00C27AA6">
        <w:rPr>
          <w:rFonts w:ascii="Times New Roman" w:hAnsi="Times New Roman" w:cs="Times New Roman"/>
          <w:i/>
          <w:sz w:val="22"/>
          <w:szCs w:val="22"/>
        </w:rPr>
        <w:t>Financial literacy and family and consumer sciences</w:t>
      </w:r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r w:rsidRPr="00C27AA6">
        <w:rPr>
          <w:rFonts w:ascii="Times New Roman" w:hAnsi="Times New Roman" w:cs="Times New Roman"/>
          <w:iCs/>
          <w:sz w:val="22"/>
          <w:szCs w:val="22"/>
        </w:rPr>
        <w:t>Journal of Family &amp;Consumer Sciences,</w:t>
      </w:r>
      <w:r w:rsidRPr="00C27A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7AA6">
        <w:rPr>
          <w:rFonts w:ascii="Times New Roman" w:hAnsi="Times New Roman" w:cs="Times New Roman"/>
          <w:sz w:val="22"/>
          <w:szCs w:val="22"/>
        </w:rPr>
        <w:t>94(1), 15-28.</w:t>
      </w:r>
    </w:p>
    <w:p w14:paraId="7DB49B4E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B704F0" w14:textId="77777777" w:rsidR="00922D65" w:rsidRPr="00C27AA6" w:rsidRDefault="00922D65" w:rsidP="00C27A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27AA6">
        <w:rPr>
          <w:rFonts w:ascii="Times New Roman" w:hAnsi="Times New Roman" w:cs="Times New Roman"/>
          <w:sz w:val="22"/>
          <w:szCs w:val="22"/>
        </w:rPr>
        <w:t>Klapper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, Leora, and Georgios A.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Panos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. 2011. </w:t>
      </w:r>
      <w:r w:rsidRPr="00C27AA6">
        <w:rPr>
          <w:rFonts w:ascii="Times New Roman" w:hAnsi="Times New Roman" w:cs="Times New Roman"/>
          <w:i/>
          <w:sz w:val="22"/>
          <w:szCs w:val="22"/>
        </w:rPr>
        <w:t xml:space="preserve">Financial Literacy and Retirement Planning in View of a Growing Youth Demographic: </w:t>
      </w:r>
      <w:proofErr w:type="gramStart"/>
      <w:r w:rsidRPr="00C27AA6">
        <w:rPr>
          <w:rFonts w:ascii="Times New Roman" w:hAnsi="Times New Roman" w:cs="Times New Roman"/>
          <w:i/>
          <w:sz w:val="22"/>
          <w:szCs w:val="22"/>
        </w:rPr>
        <w:t>the</w:t>
      </w:r>
      <w:proofErr w:type="gramEnd"/>
      <w:r w:rsidRPr="00C27AA6">
        <w:rPr>
          <w:rFonts w:ascii="Times New Roman" w:hAnsi="Times New Roman" w:cs="Times New Roman"/>
          <w:i/>
          <w:sz w:val="22"/>
          <w:szCs w:val="22"/>
        </w:rPr>
        <w:t xml:space="preserve"> Russian Case</w:t>
      </w:r>
      <w:r w:rsidRPr="00C27AA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27AA6">
        <w:rPr>
          <w:rFonts w:ascii="Times New Roman" w:hAnsi="Times New Roman" w:cs="Times New Roman"/>
          <w:sz w:val="22"/>
          <w:szCs w:val="22"/>
        </w:rPr>
        <w:t>CeRP</w:t>
      </w:r>
      <w:proofErr w:type="spellEnd"/>
      <w:r w:rsidRPr="00C27AA6">
        <w:rPr>
          <w:rFonts w:ascii="Times New Roman" w:hAnsi="Times New Roman" w:cs="Times New Roman"/>
          <w:sz w:val="22"/>
          <w:szCs w:val="22"/>
        </w:rPr>
        <w:t xml:space="preserve"> Working Paper, No. 114/11.</w:t>
      </w:r>
    </w:p>
    <w:p w14:paraId="4C451991" w14:textId="77777777" w:rsidR="00922D65" w:rsidRPr="00C27AA6" w:rsidRDefault="00922D65" w:rsidP="00C27AA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F2BA3A" w14:textId="77777777" w:rsidR="00922D65" w:rsidRPr="00C27AA6" w:rsidRDefault="00922D65" w:rsidP="00C27AA6">
      <w:pPr>
        <w:autoSpaceDE w:val="0"/>
        <w:autoSpaceDN w:val="0"/>
        <w:adjustRightInd w:val="0"/>
        <w:spacing w:before="240" w:after="240" w:line="276" w:lineRule="auto"/>
        <w:jc w:val="both"/>
        <w:rPr>
          <w:rStyle w:val="CharAttribute4"/>
          <w:rFonts w:ascii="Trebuchet MS" w:eastAsia="Batang" w:hAnsi="Trebuchet MS" w:cs="Times New Roman"/>
          <w:color w:val="000000" w:themeColor="text1"/>
          <w:sz w:val="22"/>
          <w:szCs w:val="22"/>
        </w:rPr>
      </w:pPr>
      <w:proofErr w:type="spellStart"/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>Jump$tart</w:t>
      </w:r>
      <w:proofErr w:type="spellEnd"/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 xml:space="preserve"> Coalition.2008. </w:t>
      </w:r>
      <w:r w:rsidRPr="00C27AA6">
        <w:rPr>
          <w:rStyle w:val="CharAttribute4"/>
          <w:rFonts w:eastAsia="Batang" w:hAnsi="Times New Roman" w:cs="Times New Roman"/>
          <w:i/>
          <w:color w:val="000000" w:themeColor="text1"/>
          <w:sz w:val="22"/>
          <w:szCs w:val="22"/>
        </w:rPr>
        <w:t>Survey of Personal Financial Literacy Among college students.</w:t>
      </w:r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 xml:space="preserve"> May 2008</w:t>
      </w:r>
      <w:r w:rsidRPr="00C27AA6">
        <w:rPr>
          <w:rStyle w:val="CharAttribute4"/>
          <w:rFonts w:eastAsia="Batang" w:hAnsi="Times New Roman" w:cs="Times New Roman"/>
          <w:sz w:val="22"/>
          <w:szCs w:val="22"/>
        </w:rPr>
        <w:t xml:space="preserve">, </w:t>
      </w:r>
      <w:hyperlink r:id="rId24" w:history="1">
        <w:r w:rsidRPr="00C27AA6">
          <w:rPr>
            <w:rStyle w:val="Hyperlink"/>
            <w:rFonts w:ascii="Times New Roman" w:eastAsia="Batang" w:hAnsi="Times New Roman" w:cs="Times New Roman"/>
            <w:color w:val="000000" w:themeColor="text1"/>
            <w:sz w:val="22"/>
            <w:szCs w:val="22"/>
          </w:rPr>
          <w:t>http://www</w:t>
        </w:r>
      </w:hyperlink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>. Jum$tart.org/</w:t>
      </w:r>
      <w:proofErr w:type="spellStart"/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>fileindex.cfm</w:t>
      </w:r>
      <w:proofErr w:type="spellEnd"/>
      <w:r w:rsidRPr="00C27AA6">
        <w:rPr>
          <w:rStyle w:val="CharAttribute4"/>
          <w:rFonts w:eastAsia="Batang" w:hAnsi="Times New Roman" w:cs="Times New Roman"/>
          <w:color w:val="000000" w:themeColor="text1"/>
          <w:sz w:val="22"/>
          <w:szCs w:val="22"/>
        </w:rPr>
        <w:t>.</w:t>
      </w:r>
    </w:p>
    <w:p w14:paraId="67F9730B" w14:textId="77777777" w:rsidR="00C27AA6" w:rsidRDefault="00C27AA6" w:rsidP="00225777">
      <w:pPr>
        <w:pStyle w:val="ListParagraph"/>
        <w:spacing w:line="480" w:lineRule="auto"/>
        <w:ind w:firstLine="720"/>
        <w:jc w:val="both"/>
        <w:sectPr w:rsidR="00C27AA6" w:rsidSect="00C27AA6">
          <w:pgSz w:w="11904" w:h="16836" w:code="9"/>
          <w:pgMar w:top="1701" w:right="1701" w:bottom="1701" w:left="1701" w:header="720" w:footer="720" w:gutter="0"/>
          <w:cols w:num="2" w:space="708"/>
          <w:docGrid w:linePitch="360"/>
        </w:sectPr>
      </w:pPr>
    </w:p>
    <w:p w14:paraId="6C4D464A" w14:textId="77777777" w:rsidR="00F9451D" w:rsidRPr="00BB1617" w:rsidRDefault="00F9451D" w:rsidP="00225777">
      <w:pPr>
        <w:pStyle w:val="ListParagraph"/>
        <w:spacing w:line="480" w:lineRule="auto"/>
        <w:ind w:firstLine="720"/>
        <w:jc w:val="both"/>
      </w:pPr>
    </w:p>
    <w:p w14:paraId="1551A384" w14:textId="77777777" w:rsidR="00225777" w:rsidRPr="00225777" w:rsidRDefault="00225777" w:rsidP="0022577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25777" w:rsidRPr="00225777" w:rsidSect="00C27AA6">
      <w:type w:val="continuous"/>
      <w:pgSz w:w="11904" w:h="16836" w:code="9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09C"/>
    <w:multiLevelType w:val="multilevel"/>
    <w:tmpl w:val="B4F49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  <w:i w:val="0"/>
      </w:rPr>
    </w:lvl>
  </w:abstractNum>
  <w:abstractNum w:abstractNumId="1" w15:restartNumberingAfterBreak="0">
    <w:nsid w:val="12F16417"/>
    <w:multiLevelType w:val="hybridMultilevel"/>
    <w:tmpl w:val="A0C8C830"/>
    <w:lvl w:ilvl="0" w:tplc="772EACF8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201B56"/>
    <w:multiLevelType w:val="multilevel"/>
    <w:tmpl w:val="358E02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EC67D4E"/>
    <w:multiLevelType w:val="hybridMultilevel"/>
    <w:tmpl w:val="1DA6C332"/>
    <w:lvl w:ilvl="0" w:tplc="9FAAAFD6">
      <w:start w:val="1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3E34B06"/>
    <w:multiLevelType w:val="multilevel"/>
    <w:tmpl w:val="AFCA56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3D0919"/>
    <w:multiLevelType w:val="hybridMultilevel"/>
    <w:tmpl w:val="7BDC0EAC"/>
    <w:lvl w:ilvl="0" w:tplc="3B14F134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0648642">
    <w:abstractNumId w:val="2"/>
  </w:num>
  <w:num w:numId="2" w16cid:durableId="1848132525">
    <w:abstractNumId w:val="0"/>
  </w:num>
  <w:num w:numId="3" w16cid:durableId="792141707">
    <w:abstractNumId w:val="3"/>
  </w:num>
  <w:num w:numId="4" w16cid:durableId="481048467">
    <w:abstractNumId w:val="1"/>
  </w:num>
  <w:num w:numId="5" w16cid:durableId="197552691">
    <w:abstractNumId w:val="5"/>
  </w:num>
  <w:num w:numId="6" w16cid:durableId="106791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1"/>
    <w:rsid w:val="000367CF"/>
    <w:rsid w:val="00093546"/>
    <w:rsid w:val="000B384C"/>
    <w:rsid w:val="00132C0A"/>
    <w:rsid w:val="00147902"/>
    <w:rsid w:val="00171708"/>
    <w:rsid w:val="00171E05"/>
    <w:rsid w:val="00190C2A"/>
    <w:rsid w:val="001952E7"/>
    <w:rsid w:val="001A3D93"/>
    <w:rsid w:val="00225777"/>
    <w:rsid w:val="00256743"/>
    <w:rsid w:val="002E56A5"/>
    <w:rsid w:val="003D11E7"/>
    <w:rsid w:val="004623F7"/>
    <w:rsid w:val="004B7080"/>
    <w:rsid w:val="00534C7A"/>
    <w:rsid w:val="005A4C01"/>
    <w:rsid w:val="005D56C3"/>
    <w:rsid w:val="005E40C3"/>
    <w:rsid w:val="00621635"/>
    <w:rsid w:val="0067517C"/>
    <w:rsid w:val="006F107A"/>
    <w:rsid w:val="00781E97"/>
    <w:rsid w:val="007A1B2D"/>
    <w:rsid w:val="007B7094"/>
    <w:rsid w:val="00922D65"/>
    <w:rsid w:val="00966D39"/>
    <w:rsid w:val="00967594"/>
    <w:rsid w:val="00A55CCB"/>
    <w:rsid w:val="00A608AD"/>
    <w:rsid w:val="00AE5A9D"/>
    <w:rsid w:val="00B0148E"/>
    <w:rsid w:val="00B5782F"/>
    <w:rsid w:val="00C00AAD"/>
    <w:rsid w:val="00C111ED"/>
    <w:rsid w:val="00C27AA6"/>
    <w:rsid w:val="00C74D6D"/>
    <w:rsid w:val="00D57B56"/>
    <w:rsid w:val="00D93535"/>
    <w:rsid w:val="00E51D28"/>
    <w:rsid w:val="00F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5F00"/>
  <w15:chartTrackingRefBased/>
  <w15:docId w15:val="{6AEA882B-8F95-584E-A60B-EECDC31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94"/>
  </w:style>
  <w:style w:type="paragraph" w:styleId="Heading1">
    <w:name w:val="heading 1"/>
    <w:basedOn w:val="Normal"/>
    <w:next w:val="Normal"/>
    <w:link w:val="Heading1Char"/>
    <w:uiPriority w:val="9"/>
    <w:qFormat/>
    <w:rsid w:val="00922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C2A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594"/>
    <w:rPr>
      <w:color w:val="605E5C"/>
      <w:shd w:val="clear" w:color="auto" w:fill="E1DFDD"/>
    </w:rPr>
  </w:style>
  <w:style w:type="paragraph" w:styleId="NoSpacing">
    <w:name w:val="No Spacing"/>
    <w:qFormat/>
    <w:rsid w:val="00C111E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ListParagraph">
    <w:name w:val="List Paragraph"/>
    <w:basedOn w:val="Normal"/>
    <w:uiPriority w:val="34"/>
    <w:qFormat/>
    <w:rsid w:val="002257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B70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190C2A"/>
    <w:rPr>
      <w:rFonts w:ascii="Courier New" w:hAnsi="Courier New" w:cs="Courier New"/>
      <w:b/>
      <w:bCs/>
      <w:i/>
      <w:iCs/>
      <w:color w:val="000000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00AA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D11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2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922D6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d-ID"/>
    </w:rPr>
  </w:style>
  <w:style w:type="character" w:customStyle="1" w:styleId="CharAttribute3">
    <w:name w:val="CharAttribute3"/>
    <w:rsid w:val="00922D65"/>
    <w:rPr>
      <w:rFonts w:ascii="Times New Roman" w:eastAsia="Times New Roman"/>
      <w:sz w:val="24"/>
    </w:rPr>
  </w:style>
  <w:style w:type="character" w:customStyle="1" w:styleId="CharAttribute4">
    <w:name w:val="CharAttribute4"/>
    <w:rsid w:val="00922D65"/>
    <w:rPr>
      <w:rFonts w:ascii="Times New Roman" w:eastAsia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finance.deti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ompaspedia.kompas.id" TargetMode="External"/><Relationship Id="rId7" Type="http://schemas.openxmlformats.org/officeDocument/2006/relationships/hyperlink" Target="mailto:Dede.djuniardi@uniku.ac.i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jumpstart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file.upi.edu/Direktori%20L-FPEB%20Prodi%20Manajeme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erma.wiharno@uniku.ac.id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" TargetMode="External"/><Relationship Id="rId5" Type="http://schemas.openxmlformats.org/officeDocument/2006/relationships/hyperlink" Target="mailto:Itanovita001@gmail.com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www.menpan.go.id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dx.doi.org/10.1787/5k9csfs90fr4-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databoks.katadata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19</Pages>
  <Words>7615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Fitra Nugraha</cp:lastModifiedBy>
  <cp:revision>6</cp:revision>
  <dcterms:created xsi:type="dcterms:W3CDTF">2022-06-13T13:15:00Z</dcterms:created>
  <dcterms:modified xsi:type="dcterms:W3CDTF">2022-06-15T03:33:00Z</dcterms:modified>
</cp:coreProperties>
</file>