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6EAE" w:rsidRPr="0094375B" w:rsidRDefault="00FA1445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PELIBATAN TNI DALAM PENEGAKAN HUKUM PENCEMARAN/ PERUSAKAN LINGKUNGAN SUNGAI CITARUM</w:t>
      </w:r>
    </w:p>
    <w:p w14:paraId="00000002" w14:textId="77777777" w:rsidR="00666EAE" w:rsidRPr="0094375B" w:rsidRDefault="00666EAE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03" w14:textId="0ECEA13D" w:rsidR="00666EAE" w:rsidRPr="0094375B" w:rsidRDefault="00FA1445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Evanie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Estheralda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, Viola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Audy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Diza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Pratama</w:t>
      </w:r>
      <w:proofErr w:type="spellEnd"/>
    </w:p>
    <w:p w14:paraId="00000004" w14:textId="04C1A859" w:rsidR="00666EAE" w:rsidRPr="0094375B" w:rsidRDefault="0094375B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sz w:val="20"/>
          <w:szCs w:val="20"/>
        </w:rPr>
      </w:pPr>
      <w:hyperlink r:id="rId8" w:history="1">
        <w:r w:rsidRPr="0094375B">
          <w:rPr>
            <w:rStyle w:val="Hyperlink"/>
            <w:rFonts w:ascii="Comic Sans Mt" w:eastAsia="Times New Roman" w:hAnsi="Comic Sans Mt" w:cs="Times New Roman"/>
            <w:b/>
            <w:sz w:val="20"/>
            <w:szCs w:val="20"/>
          </w:rPr>
          <w:t>dizapratama11@gmail.com</w:t>
        </w:r>
      </w:hyperlink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</w:p>
    <w:p w14:paraId="14641C3A" w14:textId="77777777" w:rsidR="0094375B" w:rsidRPr="0094375B" w:rsidRDefault="0094375B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05" w14:textId="77777777" w:rsidR="00666EAE" w:rsidRPr="0094375B" w:rsidRDefault="00FA1445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Fakultas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Universitas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Tarumanagara</w:t>
      </w:r>
      <w:proofErr w:type="spellEnd"/>
    </w:p>
    <w:p w14:paraId="00000006" w14:textId="77777777" w:rsidR="00666EAE" w:rsidRPr="0094375B" w:rsidRDefault="00FA1445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Jl.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Letjen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 S.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Parman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 No.1,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Tomang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Kec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. Grogol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Petamburan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, Kota Jakarta Barat, Daerah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Khusus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>Ibukota</w:t>
      </w:r>
      <w:proofErr w:type="spellEnd"/>
      <w:r w:rsidRPr="0094375B">
        <w:rPr>
          <w:rFonts w:ascii="Comic Sans Mt" w:eastAsia="Times New Roman" w:hAnsi="Comic Sans Mt" w:cs="Times New Roman"/>
          <w:color w:val="222222"/>
          <w:sz w:val="20"/>
          <w:szCs w:val="20"/>
          <w:highlight w:val="white"/>
        </w:rPr>
        <w:t xml:space="preserve"> Jakarta 11440</w:t>
      </w:r>
    </w:p>
    <w:p w14:paraId="00000007" w14:textId="77777777" w:rsidR="00666EAE" w:rsidRPr="0094375B" w:rsidRDefault="00666EAE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sz w:val="20"/>
          <w:szCs w:val="20"/>
        </w:rPr>
      </w:pPr>
    </w:p>
    <w:p w14:paraId="00000008" w14:textId="77777777" w:rsidR="00666EAE" w:rsidRPr="0094375B" w:rsidRDefault="00FA1445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Abstrak</w:t>
      </w:r>
      <w:proofErr w:type="spellEnd"/>
    </w:p>
    <w:p w14:paraId="00000009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terletak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Barat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Indonesia.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Namun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sayangnya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dicatat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paling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tercemar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dunia. Hal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menyebabkan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terbentuknya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produk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mengenai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penanganan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melibatkan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Selanjutnya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mengadakan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sebuah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menanggulangi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diberi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karena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penulis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bertujuan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mengetahui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langkah-langkah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mengetahui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kaitan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atau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mengetahui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sosial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Metode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digunakan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penulis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metode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studi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kepustakaan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wawancara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mengajukan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pertanyaan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kepada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narasumber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bertatap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muka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. Hasil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menunjukkan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anggota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sesuai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amanah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cukup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signifikan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terhadap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juga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sosial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0000000A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</w:p>
    <w:p w14:paraId="0000000B" w14:textId="77777777" w:rsidR="00666EAE" w:rsidRPr="0094375B" w:rsidRDefault="00FA1445" w:rsidP="0094375B">
      <w:pPr>
        <w:spacing w:line="269" w:lineRule="auto"/>
        <w:ind w:left="-113"/>
        <w:jc w:val="center"/>
        <w:rPr>
          <w:rFonts w:ascii="Comic Sans Mt" w:eastAsia="Times New Roman" w:hAnsi="Comic Sans Mt" w:cs="Times New Roman"/>
          <w:b/>
          <w:i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b/>
          <w:i/>
          <w:color w:val="231F20"/>
          <w:sz w:val="20"/>
          <w:szCs w:val="20"/>
          <w:highlight w:val="white"/>
        </w:rPr>
        <w:t>Abstract</w:t>
      </w:r>
    </w:p>
    <w:p w14:paraId="0000000C" w14:textId="5284C01C" w:rsidR="00666EAE" w:rsidRPr="0094375B" w:rsidRDefault="00FA1445" w:rsidP="0094375B">
      <w:pPr>
        <w:spacing w:line="269" w:lineRule="auto"/>
        <w:ind w:left="-113"/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i/>
          <w:color w:val="231F20"/>
          <w:sz w:val="20"/>
          <w:szCs w:val="20"/>
          <w:highlight w:val="white"/>
        </w:rPr>
        <w:t xml:space="preserve">The </w:t>
      </w:r>
      <w:proofErr w:type="spellStart"/>
      <w:r w:rsidRPr="0094375B">
        <w:rPr>
          <w:rFonts w:ascii="Comic Sans Mt" w:eastAsia="Times New Roman" w:hAnsi="Comic Sans Mt" w:cs="Times New Roman"/>
          <w:i/>
          <w:color w:val="231F20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31F20"/>
          <w:sz w:val="20"/>
          <w:szCs w:val="20"/>
          <w:highlight w:val="white"/>
        </w:rPr>
        <w:t xml:space="preserve"> River which is located in West Java is the longest and largest river in Indonesia. But unfortunately, </w:t>
      </w:r>
      <w:proofErr w:type="spellStart"/>
      <w:r w:rsidRPr="0094375B">
        <w:rPr>
          <w:rFonts w:ascii="Comic Sans Mt" w:eastAsia="Times New Roman" w:hAnsi="Comic Sans Mt" w:cs="Times New Roman"/>
          <w:i/>
          <w:color w:val="231F20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31F20"/>
          <w:sz w:val="20"/>
          <w:szCs w:val="20"/>
          <w:highlight w:val="white"/>
        </w:rPr>
        <w:t xml:space="preserve"> River is also known as one of the most polluted rivers in the world. </w:t>
      </w:r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This has led the government to take</w:t>
      </w:r>
      <w:r w:rsidR="006B6347"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action</w:t>
      </w:r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</w:t>
      </w:r>
      <w:r w:rsidR="00664D9A"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and</w:t>
      </w:r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form a regulation regarding the handling of the issue, namely Presidential Regulation Number 15 of 2018 concerning the Acceleration of Pollution and Damage Control in the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River Basin. Furthermore, the government established a program to tackle this pollution issue in the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River, and is called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. Therefore, the authors conducted a study aimed at finding out the government's steps in their ventures on actualize the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program, identifying the legal basis as well as the legal linkage of the TNI's involvement in the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program, and knowing the social impact of the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program towards the local community. The research method used by the authors is the research method of literature study and interviews conducted by asking a number of questions to the interviewees face to face. The outcome from this research showed that the involvement of TNI members in the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i/>
          <w:color w:val="222222"/>
          <w:sz w:val="20"/>
          <w:szCs w:val="20"/>
          <w:highlight w:val="white"/>
        </w:rPr>
        <w:t xml:space="preserve"> program in carrying out various efforts in accordance with the mandate of the Law had a significant impact on the ecosystem as well to the local community.</w:t>
      </w:r>
    </w:p>
    <w:p w14:paraId="0000000D" w14:textId="77777777" w:rsidR="00666EAE" w:rsidRPr="0094375B" w:rsidRDefault="00666EAE" w:rsidP="0094375B">
      <w:pPr>
        <w:spacing w:line="269" w:lineRule="auto"/>
        <w:ind w:left="-113"/>
        <w:rPr>
          <w:rFonts w:ascii="Comic Sans Mt" w:eastAsia="Times New Roman" w:hAnsi="Comic Sans Mt" w:cs="Times New Roman"/>
          <w:i/>
          <w:color w:val="231F20"/>
          <w:sz w:val="20"/>
          <w:szCs w:val="20"/>
          <w:highlight w:val="white"/>
        </w:rPr>
      </w:pPr>
    </w:p>
    <w:p w14:paraId="0000000E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</w:p>
    <w:p w14:paraId="0BD38731" w14:textId="77777777" w:rsidR="006B6347" w:rsidRPr="0094375B" w:rsidRDefault="006B6347" w:rsidP="0094375B">
      <w:pPr>
        <w:spacing w:line="269" w:lineRule="auto"/>
        <w:ind w:left="-113"/>
        <w:rPr>
          <w:rFonts w:ascii="Comic Sans Mt" w:eastAsia="Times New Roman" w:hAnsi="Comic Sans Mt" w:cs="Times New Roman"/>
          <w:b/>
          <w:sz w:val="20"/>
          <w:szCs w:val="20"/>
        </w:rPr>
        <w:sectPr w:rsidR="006B6347" w:rsidRPr="0094375B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F" w14:textId="77EAF55A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Pendahuluan</w:t>
      </w:r>
      <w:proofErr w:type="spellEnd"/>
    </w:p>
    <w:p w14:paraId="00000010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11" w14:textId="77777777" w:rsidR="00666EAE" w:rsidRPr="0094375B" w:rsidRDefault="00FA1445" w:rsidP="0094375B">
      <w:pPr>
        <w:keepLines/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lastRenderedPageBreak/>
        <w:t xml:space="preserve">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kepulauan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dunia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memiliki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17.000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Data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terbaru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Kementerian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Koordinator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Kemaritiman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Investasi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Indonesia (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Kemenko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Marves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) per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Desember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2019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menyebutkan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jumlah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pulau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telah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terverifikasi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di Indonesia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17.491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garis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pantai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sepanjang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108.000 km.</w:t>
      </w:r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  <w:vertAlign w:val="superscript"/>
        </w:rPr>
        <w:footnoteReference w:id="1"/>
      </w:r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Maka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itu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dipungkiri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kalau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memiliki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daerah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perairan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sangat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luas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Banyaknya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pulau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di Indonesia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berdampak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banyaknya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ada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di Indonesia, salah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satunya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ialah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color w:val="232323"/>
          <w:sz w:val="20"/>
          <w:szCs w:val="20"/>
          <w:highlight w:val="white"/>
        </w:rPr>
        <w:t xml:space="preserve">. </w:t>
      </w:r>
    </w:p>
    <w:p w14:paraId="487BD546" w14:textId="77777777" w:rsidR="006B6347" w:rsidRPr="0094375B" w:rsidRDefault="00FA1445" w:rsidP="0094375B">
      <w:pPr>
        <w:keepLines/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Barat. Panjang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297 km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luas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wilayah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kurang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12.000 km2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mencakup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12 wilayah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administrasi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/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Barat,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: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Bandung,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Bandung Barat,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Bekasi,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Cianjur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Indramayu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Karawang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Purwakarta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Subang,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Sumedang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Kota Bandung, Kota Bekasi dan Kota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Cimah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2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termasuk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kategori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super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prioritas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skala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nasional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dan wilayah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wilayah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kewenangan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pengelolaannya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Pusat.</w:t>
      </w:r>
    </w:p>
    <w:p w14:paraId="00000013" w14:textId="761616F6" w:rsidR="00666EAE" w:rsidRPr="0094375B" w:rsidRDefault="006B6347" w:rsidP="0094375B">
      <w:pPr>
        <w:keepLines/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Air Sungai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berasal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Gunung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Wayang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Kecamatan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Kertasari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Bandung. Sungai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mengalir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tengah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Provinsi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Jawa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Barat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selatan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arah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utara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akhirnya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bermuara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Laut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Jawa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Muara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Gembong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melewati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Bandung,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Cianjur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Purwakarta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Kabupaten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Karawang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="00FA1445"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3"/>
      </w:r>
    </w:p>
    <w:p w14:paraId="00000014" w14:textId="77777777" w:rsidR="00666EAE" w:rsidRPr="0094375B" w:rsidRDefault="00FA1445" w:rsidP="0094375B">
      <w:pPr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manfaat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kehidupan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sekitarnya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manfaat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:</w:t>
      </w:r>
    </w:p>
    <w:p w14:paraId="00000015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a).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sumber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minum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penduduk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Bandung,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Cimahi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Cianjur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Purwakarta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Bekasi,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Karawang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dan 80%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penduduk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Jakarta (16 m3/s).</w:t>
      </w:r>
    </w:p>
    <w:p w14:paraId="00000016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b).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mengairi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400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ribu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hektare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persawahan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17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c).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Ketiga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waduk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buatannya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terletak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Saguling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(1986) 982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juta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m3,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Cirata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(1988) 2.165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juta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m3 dan </w:t>
      </w:r>
      <w:proofErr w:type="spellStart"/>
      <w:proofErr w:type="gram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Jatiluhur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(</w:t>
      </w:r>
      <w:proofErr w:type="gram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1963) 3.000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juta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m3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berfungsi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PLTA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berhasil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menghasilkan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listrik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1.400 MW.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4"/>
      </w:r>
    </w:p>
    <w:p w14:paraId="00000018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d).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Menguraikan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jenis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industri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membuang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cairnya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atau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rumah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tangga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19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e).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Menampung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musim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hujan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cadangan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musim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kemarau</w:t>
      </w:r>
      <w:proofErr w:type="spellEnd"/>
    </w:p>
    <w:p w14:paraId="0000001A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f).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Memelihara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Keanekaragaman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Hayati</w:t>
      </w:r>
      <w:proofErr w:type="spellEnd"/>
    </w:p>
    <w:p w14:paraId="0000001B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ab/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memprihatinkan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dikarenakan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/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oknum-oknum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bertanggung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jawab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berakibat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tercemarnya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menyebabkan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kualitas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semakin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menurun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semakin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titik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mengeluarkan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menyengat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terjadinya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erosi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menyebabkan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pendangkalan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memperbesar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potensi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banjir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musim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hujan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menimbulkan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kekeringan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musim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1C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ab/>
        <w:t xml:space="preserve">Karena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buruk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2013 Green Cross Switzerland dan Blacksmith Institute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paling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tercemar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dunia.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posisi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Agbogbloshie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gunung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elektronik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Ghana, dan Chernobyl,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akibat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radiasi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nuklir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Rusia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5"/>
      </w:r>
    </w:p>
    <w:p w14:paraId="0000001D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lastRenderedPageBreak/>
        <w:tab/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Berdasarkan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uraian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permasalahan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dirumuskan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permasalahannya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berikut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:</w:t>
      </w:r>
    </w:p>
    <w:p w14:paraId="0000001E" w14:textId="77777777" w:rsidR="00666EAE" w:rsidRPr="0094375B" w:rsidRDefault="00FA1445" w:rsidP="0094375B">
      <w:pPr>
        <w:numPr>
          <w:ilvl w:val="0"/>
          <w:numId w:val="3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langkah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?</w:t>
      </w:r>
    </w:p>
    <w:p w14:paraId="0000001F" w14:textId="77777777" w:rsidR="00666EAE" w:rsidRPr="0094375B" w:rsidRDefault="00FA1445" w:rsidP="0094375B">
      <w:pPr>
        <w:numPr>
          <w:ilvl w:val="0"/>
          <w:numId w:val="3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Bagaimana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kaitan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?</w:t>
      </w:r>
    </w:p>
    <w:p w14:paraId="00000020" w14:textId="77777777" w:rsidR="00666EAE" w:rsidRPr="0094375B" w:rsidRDefault="00FA1445" w:rsidP="0094375B">
      <w:pPr>
        <w:numPr>
          <w:ilvl w:val="0"/>
          <w:numId w:val="3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Bagaimana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sosial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?</w:t>
      </w:r>
    </w:p>
    <w:p w14:paraId="00000021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</w:p>
    <w:p w14:paraId="00000022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ab/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Berdasarkan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permasalahan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tujuan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diangkat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:</w:t>
      </w:r>
    </w:p>
    <w:p w14:paraId="00000023" w14:textId="77777777" w:rsidR="00666EAE" w:rsidRPr="0094375B" w:rsidRDefault="00FA1445" w:rsidP="0094375B">
      <w:pPr>
        <w:numPr>
          <w:ilvl w:val="0"/>
          <w:numId w:val="7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mengetahui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menganalisis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langkah-langkah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upayanya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24" w14:textId="77777777" w:rsidR="00666EAE" w:rsidRPr="0094375B" w:rsidRDefault="00FA1445" w:rsidP="0094375B">
      <w:pPr>
        <w:numPr>
          <w:ilvl w:val="0"/>
          <w:numId w:val="7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mengetahui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meneliti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kaitan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25" w14:textId="77777777" w:rsidR="00666EAE" w:rsidRPr="0094375B" w:rsidRDefault="00FA1445" w:rsidP="0094375B">
      <w:pPr>
        <w:numPr>
          <w:ilvl w:val="0"/>
          <w:numId w:val="7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meneliti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menganalisis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sosial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ditimbulkan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26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>Metode</w:t>
      </w:r>
      <w:proofErr w:type="spellEnd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>Penelitian</w:t>
      </w:r>
      <w:proofErr w:type="spellEnd"/>
    </w:p>
    <w:p w14:paraId="00000027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1.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Jenis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</w:p>
    <w:p w14:paraId="00000028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Jenis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normatif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berfokus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norma-norma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berlaku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pengkajian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norma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-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norma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meneliti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data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sekunder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data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utama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sedangkan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data primer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penunjang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029BEBD1" w14:textId="77777777" w:rsidR="007079B5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2.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Sumber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Data</w:t>
      </w:r>
    </w:p>
    <w:p w14:paraId="5A826CD0" w14:textId="672E9F23" w:rsidR="006B6347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Data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sekunder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bersumber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:</w:t>
      </w:r>
    </w:p>
    <w:p w14:paraId="0000002B" w14:textId="0016D916" w:rsidR="00666EAE" w:rsidRPr="0094375B" w:rsidRDefault="00FA1445" w:rsidP="0094375B">
      <w:pPr>
        <w:pStyle w:val="ListParagraph"/>
        <w:numPr>
          <w:ilvl w:val="1"/>
          <w:numId w:val="7"/>
        </w:num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Bahan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Primer,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bahan-bahan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positif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mengikat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terdiri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: </w:t>
      </w:r>
    </w:p>
    <w:p w14:paraId="0000002C" w14:textId="77777777" w:rsidR="00666EAE" w:rsidRPr="0094375B" w:rsidRDefault="00FA1445" w:rsidP="0094375B">
      <w:pPr>
        <w:numPr>
          <w:ilvl w:val="0"/>
          <w:numId w:val="9"/>
        </w:numPr>
        <w:shd w:val="clear" w:color="auto" w:fill="FFFFFF"/>
        <w:spacing w:before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34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2004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Nasional Indonesia; </w:t>
      </w:r>
    </w:p>
    <w:p w14:paraId="0000002D" w14:textId="77777777" w:rsidR="00666EAE" w:rsidRPr="0094375B" w:rsidRDefault="00FA1445" w:rsidP="0094375B">
      <w:pPr>
        <w:numPr>
          <w:ilvl w:val="0"/>
          <w:numId w:val="9"/>
        </w:numPr>
        <w:shd w:val="clear" w:color="auto" w:fill="FFFFFF"/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23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1997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;</w:t>
      </w:r>
    </w:p>
    <w:p w14:paraId="0000002E" w14:textId="77777777" w:rsidR="00666EAE" w:rsidRPr="0094375B" w:rsidRDefault="00FA1445" w:rsidP="0094375B">
      <w:pPr>
        <w:numPr>
          <w:ilvl w:val="0"/>
          <w:numId w:val="9"/>
        </w:numPr>
        <w:shd w:val="clear" w:color="auto" w:fill="FFFFFF"/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; </w:t>
      </w:r>
    </w:p>
    <w:p w14:paraId="6C7D7393" w14:textId="77777777" w:rsidR="007079B5" w:rsidRPr="0094375B" w:rsidRDefault="00FA1445" w:rsidP="0094375B">
      <w:pPr>
        <w:numPr>
          <w:ilvl w:val="0"/>
          <w:numId w:val="9"/>
        </w:numPr>
        <w:shd w:val="clear" w:color="auto" w:fill="FFFFFF"/>
        <w:spacing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Menteri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Koordinator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Kemaritiman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Pengarah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Tim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B69B724" w14:textId="77777777" w:rsidR="007079B5" w:rsidRPr="0094375B" w:rsidRDefault="00FA1445" w:rsidP="0094375B">
      <w:pPr>
        <w:pStyle w:val="ListParagraph"/>
        <w:numPr>
          <w:ilvl w:val="1"/>
          <w:numId w:val="7"/>
        </w:numPr>
        <w:shd w:val="clear" w:color="auto" w:fill="FFFFFF"/>
        <w:spacing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Bahan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Sekunder</w:t>
      </w:r>
      <w:proofErr w:type="spellEnd"/>
    </w:p>
    <w:p w14:paraId="00000030" w14:textId="71A39EF1" w:rsidR="00666EAE" w:rsidRPr="0094375B" w:rsidRDefault="00FA1445" w:rsidP="0094375B">
      <w:pPr>
        <w:shd w:val="clear" w:color="auto" w:fill="FFFFFF"/>
        <w:spacing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bahan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digunakan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penjelasan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mengenai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bahan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primer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terdiri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literatur-literatur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berisi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pendapat-pendapat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7F1B1F52" w14:textId="77777777" w:rsidR="007079B5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>Metode</w:t>
      </w:r>
      <w:proofErr w:type="spellEnd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>Pengumpulan</w:t>
      </w:r>
      <w:proofErr w:type="spellEnd"/>
      <w:r w:rsidRPr="0094375B"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  <w:t xml:space="preserve"> Data</w:t>
      </w:r>
    </w:p>
    <w:p w14:paraId="00000032" w14:textId="3A879991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b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Data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dikumpulkan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:</w:t>
      </w:r>
    </w:p>
    <w:p w14:paraId="00000033" w14:textId="77777777" w:rsidR="00666EAE" w:rsidRPr="0094375B" w:rsidRDefault="00FA1445" w:rsidP="0094375B">
      <w:pPr>
        <w:numPr>
          <w:ilvl w:val="0"/>
          <w:numId w:val="5"/>
        </w:numPr>
        <w:shd w:val="clear" w:color="auto" w:fill="FFFFFF"/>
        <w:spacing w:before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Studi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Kepustakaan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br/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Studi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Kepustakaan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mempelajari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membaca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memahami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buku-buku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pendapat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-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pendapat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erat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kaitannya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materi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diteliti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00000034" w14:textId="77777777" w:rsidR="00666EAE" w:rsidRPr="0094375B" w:rsidRDefault="00FA1445" w:rsidP="0094375B">
      <w:pPr>
        <w:numPr>
          <w:ilvl w:val="0"/>
          <w:numId w:val="5"/>
        </w:numPr>
        <w:shd w:val="clear" w:color="auto" w:fill="FFFFFF"/>
        <w:spacing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Wawancara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br/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Wawancara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mengajukan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pertanyaan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kepada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narasumber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bertatap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muka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Penulis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mempersiapkan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pertanyaan-pertanyaan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diajukan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kepada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narasumber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00000035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4.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Narasumber</w:t>
      </w:r>
      <w:proofErr w:type="spellEnd"/>
    </w:p>
    <w:p w14:paraId="00000036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Narasumber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para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penduduk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00000037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5.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Metode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Analisis</w:t>
      </w:r>
      <w:proofErr w:type="spellEnd"/>
    </w:p>
    <w:p w14:paraId="00000038" w14:textId="77777777" w:rsidR="00666EAE" w:rsidRPr="0094375B" w:rsidRDefault="00FA1445" w:rsidP="0094375B">
      <w:pPr>
        <w:shd w:val="clear" w:color="auto" w:fill="FFFFFF"/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Data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diperoleh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diolah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dianalisis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deskriptif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kualitatif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semua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data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diperoleh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dianalisis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utuh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sehingga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terlihat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adanya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gambaran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sistematis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faktual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. Setelah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dianalisis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penulis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menarik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kesimpulan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menggunakan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3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metode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berfikir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deduktif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suatu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pola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berpikir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mendasarkan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hal-hal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bersifat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umum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kemudian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ditarik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kesimpulan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bersifat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khusus</w:t>
      </w:r>
      <w:proofErr w:type="spellEnd"/>
      <w:r w:rsidRPr="0094375B">
        <w:rPr>
          <w:rFonts w:ascii="Comic Sans Mt" w:eastAsia="Times New Roman" w:hAnsi="Comic Sans Mt" w:cs="Times New Roman"/>
          <w:color w:val="231F20"/>
          <w:sz w:val="20"/>
          <w:szCs w:val="20"/>
          <w:highlight w:val="white"/>
        </w:rPr>
        <w:t>.</w:t>
      </w:r>
    </w:p>
    <w:p w14:paraId="00000039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B. Hasil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Penelitian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Pembahasan</w:t>
      </w:r>
      <w:proofErr w:type="spellEnd"/>
    </w:p>
    <w:p w14:paraId="0000003A" w14:textId="1B1BB510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lastRenderedPageBreak/>
        <w:t xml:space="preserve">1. 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Apa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S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aja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L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angkah-</w:t>
      </w:r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L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angkah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P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emerintah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U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paya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M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ewujudkan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S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ungai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C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itarum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b/>
          <w:sz w:val="20"/>
          <w:szCs w:val="20"/>
        </w:rPr>
        <w:t>H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?</w:t>
      </w:r>
    </w:p>
    <w:p w14:paraId="0000003B" w14:textId="53082FFB" w:rsidR="00666EAE" w:rsidRPr="0094375B" w:rsidRDefault="00FA1445" w:rsidP="0094375B">
      <w:pPr>
        <w:spacing w:before="240" w:after="240"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Di era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Jokowi,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langkah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penanggulangan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diambil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Jokowi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mengeluarkan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No. 15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ditandatangani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14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2018. 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pusat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daerah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meluncurkan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ditargetkan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Penanganan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kata Jokowi,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melalui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tiga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tahapan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yakni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hulu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tengah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hilir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</w:p>
    <w:p w14:paraId="0000003C" w14:textId="0CD64BD7" w:rsidR="00666EAE" w:rsidRPr="0094375B" w:rsidRDefault="00FA1445" w:rsidP="0094375B">
      <w:pPr>
        <w:spacing w:before="240" w:after="240"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vertAlign w:val="superscript"/>
        </w:rPr>
        <w:footnoteReference w:id="6"/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dipimpin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Komandan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Gubernur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Barat.Sementara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Wakil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Komandan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Sementara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Wakil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Komandan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dipegang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Panglima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Kodam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III/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Siliwangi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artinya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terjun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pelaksanaannya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1.700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personel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diturunkan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menjaga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mengawasi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22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kemudian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Ridwan Kamil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selaku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Gubernur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Barat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hasil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positif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Sejumlah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Pabrik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sering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diduga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penyebab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mulai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pengolahan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sebelum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membuang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</w:p>
    <w:p w14:paraId="0000003D" w14:textId="68F85EA9" w:rsidR="00666EAE" w:rsidRPr="0094375B" w:rsidRDefault="00FA1445" w:rsidP="0094375B">
      <w:pPr>
        <w:spacing w:before="240" w:after="240"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Gubernur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Barat (Ridwan Kamil)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menjelaskan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3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yakni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: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pendek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menengah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Serta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pendek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menjelaskan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menyiapkan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mesin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pengeruk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membersihkan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bantaran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sz w:val="20"/>
          <w:szCs w:val="20"/>
        </w:rPr>
        <w:t>C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nanti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mengambil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7079B5" w:rsidRPr="0094375B">
        <w:rPr>
          <w:rFonts w:ascii="Comic Sans Mt" w:eastAsia="Times New Roman" w:hAnsi="Comic Sans Mt" w:cs="Times New Roman"/>
          <w:sz w:val="20"/>
          <w:szCs w:val="20"/>
        </w:rPr>
        <w:t>C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menggunakan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teknologi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Mudah-mudahan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mengawali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Satgas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,”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tutur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Ridwan,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Komandan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menengah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menargetkan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penyelesaian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persoalan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penanganan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ingin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memindahkan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industri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kawasan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  <w:vertAlign w:val="superscript"/>
        </w:rPr>
        <w:footnoteReference w:id="7"/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Serta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waktu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ingin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merelokasi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industri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</w:p>
    <w:p w14:paraId="00000044" w14:textId="58E9868D" w:rsidR="00666EAE" w:rsidRPr="0094375B" w:rsidRDefault="00FA1445" w:rsidP="0094375B">
      <w:pPr>
        <w:spacing w:before="240" w:after="240"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Kota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kesiapannya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mengelola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Bank dunia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mengelola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sampah</w:t>
      </w:r>
      <w:proofErr w:type="spellEnd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Kesiapan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>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wujud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dukungan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Kota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menyambut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“Improvement of Solid Waste Management to Support Regional Area and Metropolis cities”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Wakil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Walikota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Bandung Yana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Mulyana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mengatakan</w:t>
      </w:r>
      <w:proofErr w:type="spellEnd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berupa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kucuran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dana,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tetapi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Nantinya</w:t>
      </w:r>
      <w:proofErr w:type="spellEnd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>p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>k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ota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Bandung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mengelola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tersebut</w:t>
      </w:r>
      <w:proofErr w:type="spellEnd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“Kota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berkomitmen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menjalankan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Kami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Sanggup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menjamin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kegiatan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operasional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,”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>u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jarnya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Kota Bandung,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Selasa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Juni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2019.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Yana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Mulyana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Setiap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kota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menghasilkan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seberat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1.500 ton.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Dari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jumlah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diolah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Sehingga</w:t>
      </w:r>
      <w:proofErr w:type="spellEnd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>m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elalui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Bank Dunia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Kota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berkonsentrasi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menuntaskan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persoalan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berpotensi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mencemari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bagian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provinsi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Barat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mengatasi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persoalan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Meski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tidak</w:t>
      </w:r>
      <w:proofErr w:type="spellEnd"/>
      <w:r w:rsidR="006B6347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dilewati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</w:t>
      </w:r>
      <w:r w:rsidR="006B6347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Kota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siap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membersihkan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sejumlah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anak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bermuara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>C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>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="00664D9A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Kepala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Dinas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Bandung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Sopyan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Hernadi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menjelaskan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</w:t>
      </w:r>
      <w:r w:rsidR="006B6347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Kota Bandung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membangun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16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titik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pusat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pengolahan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organik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maupun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pusat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ulang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pembuangan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3R.</w:t>
      </w:r>
      <w:r w:rsidR="00664D9A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Harapan</w:t>
      </w:r>
      <w:r w:rsidR="00664D9A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sebelumnya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lastRenderedPageBreak/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berpotensi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mencemari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diolah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vertAlign w:val="superscript"/>
        </w:rPr>
        <w:footnoteReference w:id="8"/>
      </w:r>
    </w:p>
    <w:p w14:paraId="00000045" w14:textId="2F16D72D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2.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Bagaimana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K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aitan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H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ukum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dan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U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ndang-</w:t>
      </w:r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U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ndang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de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ngan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K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eterlibatan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TNI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d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alam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P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rogram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C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itarum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</w:rPr>
        <w:t>H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?</w:t>
      </w:r>
    </w:p>
    <w:p w14:paraId="00000046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Pengertian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TNI</w:t>
      </w:r>
    </w:p>
    <w:p w14:paraId="00000047" w14:textId="16B65CB3" w:rsidR="00666EAE" w:rsidRPr="0094375B" w:rsidRDefault="00FA1445" w:rsidP="0094375B">
      <w:pPr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Nasional Indonesia (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disingkat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sebuah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hyperlink r:id="rId10">
        <w:proofErr w:type="spellStart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>angkatan</w:t>
        </w:r>
        <w:proofErr w:type="spellEnd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 xml:space="preserve"> </w:t>
        </w:r>
        <w:proofErr w:type="spellStart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>perang</w:t>
        </w:r>
        <w:proofErr w:type="spellEnd"/>
      </w:hyperlink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hyperlink r:id="rId11"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>Indonesia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awal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dibentuknya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 TNI</w:t>
      </w:r>
      <w:r w:rsidR="006B6347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bernama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hyperlink r:id="rId12">
        <w:proofErr w:type="spellStart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>Tentara</w:t>
        </w:r>
        <w:proofErr w:type="spellEnd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 xml:space="preserve"> </w:t>
        </w:r>
        <w:proofErr w:type="spellStart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>Keamanan</w:t>
        </w:r>
        <w:proofErr w:type="spellEnd"/>
        <w:r w:rsidRPr="0094375B">
          <w:rPr>
            <w:rFonts w:ascii="Comic Sans Mt" w:eastAsia="Times New Roman" w:hAnsi="Comic Sans Mt" w:cs="Times New Roman"/>
            <w:sz w:val="20"/>
            <w:szCs w:val="20"/>
            <w:highlight w:val="white"/>
          </w:rPr>
          <w:t xml:space="preserve"> Rakyat (TKR)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kemudian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berganti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(TRI)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kemudian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diubah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namanya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Nasional Indonesia (TNI)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sekarang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318FEB2C" w14:textId="52C348DC" w:rsidR="006B6347" w:rsidRPr="0094375B" w:rsidRDefault="00FA1445" w:rsidP="0094375B">
      <w:pPr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Menurut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34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2004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Nasional Indonesia Bab IV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5, TNI (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Nasional Indonesia)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berperan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pertahanan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menjalankan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berdasarkan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kebijakan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keputusan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politik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9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pokok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menegakkan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kedaulatan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mempertahankan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keutuhan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wilayah Negara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berdasarkan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Pancasila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Dasar Negara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1945,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melindungi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segenap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bangsa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seluruh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ancaman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gangguan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terhadap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keutuhan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bangsa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negara.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Bab III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4 (1)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terdiri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Angkatan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TNI Angkatan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dan TNI Angkatan Udara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melaksanakan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matra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atau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gabungan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bawah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pimpinan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Panglima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10"/>
      </w:r>
    </w:p>
    <w:p w14:paraId="42726680" w14:textId="77777777" w:rsidR="00664D9A" w:rsidRPr="0094375B" w:rsidRDefault="00664D9A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</w:p>
    <w:p w14:paraId="0000004A" w14:textId="4BB03873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Kaitan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Harum</w:t>
      </w:r>
      <w:proofErr w:type="spellEnd"/>
    </w:p>
    <w:p w14:paraId="0000004B" w14:textId="77777777" w:rsidR="00666EAE" w:rsidRPr="0094375B" w:rsidRDefault="00FA1445" w:rsidP="0094375B">
      <w:pPr>
        <w:spacing w:line="269" w:lineRule="auto"/>
        <w:ind w:left="-113" w:firstLine="360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dasarnya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kelestarian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merupakan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jawab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setiap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individu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di Indonesia,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maupun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seluruh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elemen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Dasar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kalau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memiliki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penting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pelestarian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tertulis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23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1997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vertAlign w:val="superscript"/>
        </w:rPr>
        <w:footnoteReference w:id="11"/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Sebagaimana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tertulis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11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(1)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tingkat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nasional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dilaksanakan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terpadu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perangkat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kelembagaan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dikoordinasi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oleh Menteri.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(2)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Ketentuan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mengenai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fungsi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wewenang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susunan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organisasi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tata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kelembagaan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sebagaimana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dimaksud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(1),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diatur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lanjut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Keputusan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Selanjutnya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dituliskan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12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(1)</w:t>
      </w: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keterpaduan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keserasian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pelaksanaan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kebijaksanaan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nasional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berdasarkan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: </w:t>
      </w:r>
    </w:p>
    <w:p w14:paraId="0000004C" w14:textId="77777777" w:rsidR="00666EAE" w:rsidRPr="0094375B" w:rsidRDefault="00FA1445" w:rsidP="0094375B">
      <w:pPr>
        <w:numPr>
          <w:ilvl w:val="0"/>
          <w:numId w:val="1"/>
        </w:numPr>
        <w:spacing w:before="20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melimpahkan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wewenang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tertentu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kepada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perangkat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wilayah; </w:t>
      </w:r>
    </w:p>
    <w:p w14:paraId="0000004D" w14:textId="4C6D3AB5" w:rsidR="00666EAE" w:rsidRPr="0094375B" w:rsidRDefault="00664D9A" w:rsidP="0094375B">
      <w:pPr>
        <w:numPr>
          <w:ilvl w:val="0"/>
          <w:numId w:val="1"/>
        </w:numPr>
        <w:spacing w:after="20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dan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mengikutsertakan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peran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Daerah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membantu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Pusat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pelaksanaan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di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daerah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</w:p>
    <w:p w14:paraId="0000004E" w14:textId="77777777" w:rsidR="00666EAE" w:rsidRPr="0094375B" w:rsidRDefault="00FA1445" w:rsidP="0094375B">
      <w:pPr>
        <w:spacing w:before="200" w:after="20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(2)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Ketentuan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lanjut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sebagaimana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dimaksud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(1)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diatur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vertAlign w:val="superscript"/>
        </w:rPr>
        <w:footnoteReference w:id="12"/>
      </w:r>
    </w:p>
    <w:p w14:paraId="0000004F" w14:textId="77777777" w:rsidR="00666EAE" w:rsidRPr="0094375B" w:rsidRDefault="00FA1445" w:rsidP="0094375B">
      <w:pPr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mengatasi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di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Joko Widodo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menugaskan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prajurit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korps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membersihkan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dikatakan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paling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tercemar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dunia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kepada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prajurit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korps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dituangkan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13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</w:p>
    <w:p w14:paraId="00000050" w14:textId="6D4C07A7" w:rsidR="00666EAE" w:rsidRPr="0094375B" w:rsidRDefault="00FA1445" w:rsidP="0094375B">
      <w:pPr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lastRenderedPageBreak/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kewenangan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TNI,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diantaranya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rencana-rencana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eksekusi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operasi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penanggulangan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12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huruf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berbunyi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Panglima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Nasional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dukungan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personil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termasuk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mobilisasi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peralatan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operasi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sesuai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ketentuan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perundang-undanga</w:t>
      </w:r>
      <w:r w:rsidR="00664D9A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</w:t>
      </w:r>
      <w:r w:rsidR="00664D9A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”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menunjukkan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memerintahkan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Panglima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dukungannya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personel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termasuk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memobilisasi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peralatan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operasi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sesuai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ketentuan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Nama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dipakai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gerakan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Gerakan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1" w14:textId="77777777" w:rsidR="00666EAE" w:rsidRPr="0094375B" w:rsidRDefault="00FA1445" w:rsidP="0094375B">
      <w:pPr>
        <w:spacing w:line="269" w:lineRule="auto"/>
        <w:ind w:left="-113" w:firstLine="720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Menindaklanjuti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(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Lembaran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30),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dikeluarkanlah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Menteri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Koordinator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Kemaritiman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Pengarah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Tim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  <w:vertAlign w:val="superscript"/>
        </w:rPr>
        <w:footnoteReference w:id="14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memuat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21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lain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wewenang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dituliskan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menetapkan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langkah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operasional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penyelesaian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permasalahan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pelaksanaan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penanggulangan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2" w14:textId="5F333934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3.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Bagaimana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D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ampak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S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osial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</w:t>
      </w:r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P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rogram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C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itarum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H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arum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B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agi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</w:t>
      </w:r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M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asyarakat </w:t>
      </w:r>
      <w:proofErr w:type="spellStart"/>
      <w:r w:rsidR="00664D9A"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S</w:t>
      </w:r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etempat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?</w:t>
      </w:r>
    </w:p>
    <w:p w14:paraId="00000053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Sebelum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digagas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rakyat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mencoba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membersihkan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usaha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bakti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lama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tertimbun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belum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ditumpas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Keadaan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sangat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menggelisahkan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lantaran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potensi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banjir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sangat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kala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hujan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Untungnya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melihat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problem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bertindak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memunculkan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revitalisasi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4" w14:textId="02AEE56D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revitalisasi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sesuatu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sekali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baru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Sebelumnya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dicanangkan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memuluskan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cita-cita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mengembalikan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seperti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dahulu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kala.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periode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2000-2003,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diadakan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pertama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dinamakan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Bergetar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 Kata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bergetar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”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singkatan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geulis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lestari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Namun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sayangnya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menghasilkan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hasil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diharapkan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Setelahnya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muncul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Integrated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Water Resources Management Investment Program (ICWRMIP)</w:t>
      </w:r>
      <w:r w:rsidR="00BE4208" w:rsidRPr="0094375B">
        <w:rPr>
          <w:rStyle w:val="FootnoteReference"/>
          <w:rFonts w:ascii="Comic Sans Mt" w:eastAsia="Times New Roman" w:hAnsi="Comic Sans Mt" w:cs="Times New Roman"/>
          <w:sz w:val="20"/>
          <w:szCs w:val="20"/>
          <w:highlight w:val="white"/>
        </w:rPr>
        <w:footnoteReference w:id="15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atau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Sumber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Terpadu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Wilayah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waktu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2008-2023.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Namun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belum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tuntas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muncul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Bestari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” pada 2018</w:t>
      </w:r>
      <w:r w:rsidR="00BE4208" w:rsidRPr="0094375B">
        <w:rPr>
          <w:rStyle w:val="FootnoteReference"/>
          <w:rFonts w:ascii="Comic Sans Mt" w:eastAsia="Times New Roman" w:hAnsi="Comic Sans Mt" w:cs="Times New Roman"/>
          <w:sz w:val="20"/>
          <w:szCs w:val="20"/>
          <w:highlight w:val="white"/>
        </w:rPr>
        <w:footnoteReference w:id="16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Sayangnya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seluruh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meninggalkan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jejak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membekas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menguap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tengah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Hal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diduga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akibat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kurangnya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kesadaran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keikutsertaan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5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Akhirnya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muncullah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terbaru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Selain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faktor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‘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’ Jokowi,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kerja-kerja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pemeliharaan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lapangan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determinan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lain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menentukan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prospek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keberhasilan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strategis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nasional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Diakui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atau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sejak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awal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gerak-gerik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turun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barak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amat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perhatian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praktiknya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mereka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komandan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sekaligus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patron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ingin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partisipan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gerakan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revitalisasi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kali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dianggap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memiliki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cukup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lastRenderedPageBreak/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demikian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6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sosial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dirasakan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seperti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berikut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:</w:t>
      </w:r>
    </w:p>
    <w:p w14:paraId="00000057" w14:textId="77777777" w:rsidR="00666EAE" w:rsidRPr="0094375B" w:rsidRDefault="00FA1445" w:rsidP="0094375B">
      <w:pPr>
        <w:numPr>
          <w:ilvl w:val="0"/>
          <w:numId w:val="2"/>
        </w:num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bersih</w:t>
      </w:r>
      <w:proofErr w:type="spellEnd"/>
    </w:p>
    <w:p w14:paraId="00000058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sangat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penting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kesehatan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disekitarnya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Pasalnya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zat-zat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kimia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seperti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logam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terkandung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menyebabkan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penduduk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menggunakan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terkena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penyakit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studi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ilmiah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membuktikan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logam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pengaruh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negatif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fungsi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tubuh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manusia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terpapar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meningkatkan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kemungkinan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gangguan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saraf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4 kali,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gangguan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sirkulasi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3 kali,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gangguan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pertumbuhan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6 kali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gangguan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pernapasan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23 kali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dibandingkan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orang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terpapar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disimpulkan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bagaimana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urgensi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artinya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bukanlah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sesuatu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disepelekan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fokus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bertitik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9" w14:textId="6CF83592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hilir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taktik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dinamis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guna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mengembalikan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taktik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antaranya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bersinergi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pemasangan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jaring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pengaman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pemberian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bakteri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penjernih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 dan lain-lain. Dari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akhirnya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pun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penduduk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bernama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Dayeuhkolot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memberikan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pendapatnya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  <w:r w:rsidR="00BE4208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Biasanya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musim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hujan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Sukabirus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banjir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kali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sedikit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genangan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air,” kata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Senada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 Andi</w:t>
      </w:r>
      <w:r w:rsidR="00BE4208"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(53),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seorang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Citeureup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menghuni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sepetak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rumah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bantaran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menuturkan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“Air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berwarna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coklat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sekarang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mulai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bening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,”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ujar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Andi.</w:t>
      </w:r>
    </w:p>
    <w:p w14:paraId="0000005A" w14:textId="77777777" w:rsidR="00666EAE" w:rsidRPr="0094375B" w:rsidRDefault="00FA1445" w:rsidP="0094375B">
      <w:pPr>
        <w:numPr>
          <w:ilvl w:val="0"/>
          <w:numId w:val="2"/>
        </w:num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Rakyat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lebih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sadar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</w:t>
      </w:r>
      <w:proofErr w:type="spellEnd"/>
    </w:p>
    <w:p w14:paraId="0000005B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rakyat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pun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makin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sadar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sepatutnya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manusia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melestarikan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begitupun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kepada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maupun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mampir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daerah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Seiring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kemajuan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lumayan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signifikan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harapan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kembali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seperti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sedia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kala pun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alasan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utama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ikut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menjaga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kebersihan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C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teman-temannya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ditemui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tengah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menyortir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mereka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pungut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ketika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mampir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sekitaran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kami rasa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perlu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juga kami bantu-bantu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sungai-nya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cepat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,”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ujar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teman-temannya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ternyata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ditiru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orang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juga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semakin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sadar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membuang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sampah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atau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rumah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tangga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sembarangan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5D" w14:textId="77777777" w:rsidR="00666EAE" w:rsidRPr="0094375B" w:rsidRDefault="00FA1445" w:rsidP="0094375B">
      <w:pPr>
        <w:numPr>
          <w:ilvl w:val="0"/>
          <w:numId w:val="2"/>
        </w:num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rekreasi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baru</w:t>
      </w:r>
      <w:proofErr w:type="spellEnd"/>
    </w:p>
    <w:p w14:paraId="0000005E" w14:textId="092C1AAD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kata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asri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keadaan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berjalannya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sangat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membaik</w:t>
      </w:r>
      <w:proofErr w:type="spellEnd"/>
      <w:r w:rsidR="00BE4208" w:rsidRPr="0094375B">
        <w:rPr>
          <w:rStyle w:val="FootnoteReference"/>
          <w:rFonts w:ascii="Comic Sans Mt" w:eastAsia="Times New Roman" w:hAnsi="Comic Sans Mt" w:cs="Times New Roman"/>
          <w:sz w:val="20"/>
          <w:szCs w:val="20"/>
          <w:highlight w:val="white"/>
        </w:rPr>
        <w:footnoteReference w:id="17"/>
      </w:r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Salah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area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datangi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menyaksikan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keindahannya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Situ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Cisanti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hulu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Sebelumnya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memilih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tidak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karena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kondisi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sebelumnya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berbau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Andi,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mengkonfirmasi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pernyataannya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Dulu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disini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sekali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sekarang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ada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ibu-ibu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ajak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main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anaknya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”.</w:t>
      </w:r>
    </w:p>
    <w:p w14:paraId="0000005F" w14:textId="77777777" w:rsidR="00666EAE" w:rsidRPr="0094375B" w:rsidRDefault="00FA1445" w:rsidP="0094375B">
      <w:pPr>
        <w:numPr>
          <w:ilvl w:val="0"/>
          <w:numId w:val="2"/>
        </w:num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Beralihnya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komoditi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tanaman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</w:p>
    <w:p w14:paraId="00000060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pelaksanaan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aparat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berfokus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dua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membujuk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lastRenderedPageBreak/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bersedia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direlokasi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mendorong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mereka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komoditi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Keduanya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secara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bertahap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relokasi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menyetujui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kepentingan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komoditi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terbiasa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menanam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sayur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diarahkan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menanam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tanaman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seperti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kopi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kayu-kayuan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Hal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penting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guna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memulihkan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biota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61" w14:textId="77777777" w:rsidR="00666EAE" w:rsidRPr="0094375B" w:rsidRDefault="00FA1445" w:rsidP="0094375B">
      <w:pPr>
        <w:spacing w:before="240" w:after="240"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prakteknya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kendala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dihadapi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memastikan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mengubah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komoditi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Seperti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dikatakan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Komandan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Sektor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(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Dansektor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) 1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Kolonel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Infanteri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Inget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Barus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ketika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ditanya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,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enggak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Tapi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pelan-pelan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kasih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pengertian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,".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Namun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akhirnya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menyadari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manfaat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anjuran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tersebut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"Lama-lama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mereka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paham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Saya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bilang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mereka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dimotori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hasil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akhirnya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rakyat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Kalau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bersih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merasakan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manfaatnya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seluruh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rakyat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Barat,”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Barus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62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63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C.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Penutup</w:t>
      </w:r>
      <w:proofErr w:type="spellEnd"/>
    </w:p>
    <w:p w14:paraId="00000064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65" w14:textId="77777777" w:rsidR="00666EAE" w:rsidRPr="0094375B" w:rsidRDefault="00FA1445" w:rsidP="0094375B">
      <w:pPr>
        <w:numPr>
          <w:ilvl w:val="0"/>
          <w:numId w:val="8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Kesimpulan</w:t>
      </w:r>
    </w:p>
    <w:p w14:paraId="4FCA27CE" w14:textId="77777777" w:rsidR="006B6347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  <w:sectPr w:rsidR="006B6347" w:rsidRPr="0094375B" w:rsidSect="006B634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Berdasarkan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paparan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gramStart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yang 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telah</w:t>
      </w:r>
      <w:proofErr w:type="spellEnd"/>
      <w:proofErr w:type="gram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penulis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sampaikan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ditarik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kesimpulan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bahwa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Pusat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melakukan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3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waktu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(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pendek,menengah,panjang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)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menargetkan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agar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menyelesaikan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selama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lamanya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Mengenai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kaitan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hukum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keterlibatan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TNI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mengeluarkan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Menindaklanjuti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dikeluarkanlah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Menteri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Koordinator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Kemaritiman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Pengarah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Tim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Terakhir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terbukti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memiliki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beberapa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dampak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signifikan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Dari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mulai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ekosistem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membaik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sikap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sadar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</w:p>
    <w:p w14:paraId="00000066" w14:textId="238C1339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mulai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dimiliki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orang,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bisa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dijadikan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tujuan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rekreasi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hingga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beralihnya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komoditi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tanaman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warga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setempat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.</w:t>
      </w:r>
    </w:p>
    <w:p w14:paraId="00000067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68" w14:textId="77777777" w:rsidR="00666EAE" w:rsidRPr="0094375B" w:rsidRDefault="00FA1445" w:rsidP="0094375B">
      <w:pPr>
        <w:numPr>
          <w:ilvl w:val="0"/>
          <w:numId w:val="8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Saran</w:t>
      </w:r>
    </w:p>
    <w:p w14:paraId="00000069" w14:textId="77777777" w:rsidR="00666EAE" w:rsidRPr="0094375B" w:rsidRDefault="00FA1445" w:rsidP="0094375B">
      <w:pPr>
        <w:numPr>
          <w:ilvl w:val="0"/>
          <w:numId w:val="4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Mengingat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masalah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perlu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adanya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pengawasan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oleh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maupun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sekitar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adanya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pengawasan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langsung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dari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pihak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maupun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proofErr w:type="gramStart"/>
      <w:r w:rsidRPr="0094375B">
        <w:rPr>
          <w:rFonts w:ascii="Comic Sans Mt" w:eastAsia="Times New Roman" w:hAnsi="Comic Sans Mt" w:cs="Times New Roman"/>
          <w:sz w:val="20"/>
          <w:szCs w:val="20"/>
        </w:rPr>
        <w:t>diharapkan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 agar</w:t>
      </w:r>
      <w:proofErr w:type="gram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terwujudnya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serta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terealisasi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benar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</w:p>
    <w:p w14:paraId="0000006A" w14:textId="77777777" w:rsidR="00666EAE" w:rsidRPr="0094375B" w:rsidRDefault="00FA1445" w:rsidP="0094375B">
      <w:pPr>
        <w:numPr>
          <w:ilvl w:val="0"/>
          <w:numId w:val="4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Berbagai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pihak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bertanggung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jawab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agar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segera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menyelesaikan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proofErr w:type="gram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secara</w:t>
      </w:r>
      <w:proofErr w:type="spellEnd"/>
      <w:proofErr w:type="gram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waktu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sesuai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ditetapkan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agar para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masyarakat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segera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menikmati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banyak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manfaat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adanya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</w:p>
    <w:p w14:paraId="0000006B" w14:textId="77777777" w:rsidR="00666EAE" w:rsidRPr="0094375B" w:rsidRDefault="00FA1445" w:rsidP="0094375B">
      <w:pPr>
        <w:numPr>
          <w:ilvl w:val="0"/>
          <w:numId w:val="4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pusat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daerah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sebaiknya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memperkuat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mengenai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waktu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ingin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dicapai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dalam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mewujudkan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proofErr w:type="gram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.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Diharapkan</w:t>
      </w:r>
      <w:proofErr w:type="spellEnd"/>
      <w:proofErr w:type="gram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diperkuat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perundang-undangan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terkait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jangka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waktu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ingin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dicapai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diharapkan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jajaran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dibawahnya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bertanggung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jawab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atas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program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sungai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ini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dapat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sesuai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dengan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yang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sudah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ditetapkan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sebelumnya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.</w:t>
      </w:r>
    </w:p>
    <w:p w14:paraId="26B00510" w14:textId="77777777" w:rsidR="006B6347" w:rsidRPr="0094375B" w:rsidRDefault="006B6347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3C4E8922" w14:textId="77777777" w:rsidR="006B6347" w:rsidRPr="0094375B" w:rsidRDefault="006B6347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198D5EC6" w14:textId="2BEFAFC6" w:rsidR="006B6347" w:rsidRPr="0094375B" w:rsidRDefault="006B6347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  <w:sectPr w:rsidR="006B6347" w:rsidRPr="0094375B" w:rsidSect="006B634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BDA137B" w14:textId="77777777" w:rsidR="006B6347" w:rsidRPr="0094375B" w:rsidRDefault="006B6347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6E" w14:textId="4C9E9C2C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Daftar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Pustaka</w:t>
      </w:r>
      <w:proofErr w:type="spellEnd"/>
    </w:p>
    <w:p w14:paraId="0000006F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</w:p>
    <w:p w14:paraId="00000070" w14:textId="77777777" w:rsidR="00666EAE" w:rsidRPr="0094375B" w:rsidRDefault="00FA1445" w:rsidP="0094375B">
      <w:pPr>
        <w:numPr>
          <w:ilvl w:val="0"/>
          <w:numId w:val="6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Website</w:t>
      </w:r>
    </w:p>
    <w:p w14:paraId="00000071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Balai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Wilayah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hyperlink r:id="rId13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http://citarum.bappenas.go.id/tentang-kami/sekilas-citarum/kondisi-fisik-dan-</w:t>
        </w:r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spasial.html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17.51</w:t>
      </w:r>
    </w:p>
    <w:p w14:paraId="00000072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3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Balai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Besar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Wilayah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hyperlink r:id="rId14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http://bbwscitarum.com/2014/11/28/profil/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16.21WIB</w:t>
      </w:r>
    </w:p>
    <w:p w14:paraId="00000074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5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Negara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 </w:t>
      </w:r>
      <w:hyperlink r:id="rId15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http://ditjenpp.kemenkumham.go.id/arsip/bn/2018/bn1090-2018.pdf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22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13.20</w:t>
      </w:r>
    </w:p>
    <w:p w14:paraId="00000076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7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Kelompok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Air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Minum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Penyehatan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hyperlink r:id="rId16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http://www.ampl.or.id/digilib/read/limbah-mengalir-sampai-jauh/35026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17.21 WIB</w:t>
      </w:r>
    </w:p>
    <w:p w14:paraId="00000078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9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Mongabay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Situs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hyperlink r:id="rId17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https://www.mongabay.co.id/2018/02/28/citarum-harum-langkah-optimis-pemerintah-pulihkan-kejayaan-sungai-citarum-bagian-3/</w:t>
        </w:r>
      </w:hyperlink>
      <w:hyperlink r:id="rId18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</w:rPr>
          <w:t xml:space="preserve">,   </w:t>
        </w:r>
      </w:hyperlink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15.20 WIB</w:t>
      </w:r>
    </w:p>
    <w:p w14:paraId="0000007A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B" w14:textId="3E7C931E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Muhammad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Fikry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Mauludy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 ”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Respons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bantuan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Bank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Dunia,Bandung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siapkan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16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Lahan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untuk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dukung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”, </w:t>
      </w:r>
      <w:hyperlink r:id="rId19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https://www.pikiran-rakyat.com/bandung-raya/pr-01314207/respons-bantuan-bank-dunia-bandung-siapkan-16-lahan-untuk-dukung-citarum-harum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p</w:t>
      </w: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19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17.00</w:t>
      </w:r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WIB</w:t>
      </w:r>
    </w:p>
    <w:p w14:paraId="0000007C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D" w14:textId="3F7304CE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Rio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Tuasikal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,”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Upaya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Bersihkan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Terkotor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Dunia (1)”, </w:t>
      </w:r>
      <w:hyperlink r:id="rId20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https://www.voaindonesia.com/a/upaya-indonesia-bersihkan-sungai-terkotor-di-dunia-(1)/4745640.html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19.03</w:t>
      </w:r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WIB</w:t>
      </w:r>
    </w:p>
    <w:p w14:paraId="0000007E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7F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Wihdi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Luthfi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 “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Jumlah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Pulau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di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Bertambah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”, </w:t>
      </w:r>
      <w:hyperlink r:id="rId21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https://www.goodnewsfromindonesia.id/2020/02/21/jumlah-pulau-di-indonesia-bertambah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15.20 WIB</w:t>
      </w:r>
    </w:p>
    <w:p w14:paraId="00000080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81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Yud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>, ”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Jawa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Barat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siapkan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strategi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Normalisasi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Sungai  Citarum”,</w:t>
      </w:r>
      <w:hyperlink r:id="rId22">
        <w:r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https://www.beritasatu.com/nasional/511325/nasional/511325-jawa-barat-siapkan-strategi-normalisasi-sungai-citarum</w:t>
        </w:r>
      </w:hyperlink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16.00 WIB</w:t>
      </w:r>
    </w:p>
    <w:p w14:paraId="1927BDCA" w14:textId="77777777" w:rsidR="00BE4208" w:rsidRPr="0094375B" w:rsidRDefault="00BE4208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84" w14:textId="77777777" w:rsidR="00666EAE" w:rsidRPr="0094375B" w:rsidRDefault="00FA1445" w:rsidP="0094375B">
      <w:pPr>
        <w:numPr>
          <w:ilvl w:val="0"/>
          <w:numId w:val="6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Jurnal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Artikel</w:t>
      </w:r>
      <w:proofErr w:type="spellEnd"/>
    </w:p>
    <w:p w14:paraId="00000085" w14:textId="77777777" w:rsidR="00666EAE" w:rsidRPr="0094375B" w:rsidRDefault="00F345EB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hyperlink r:id="rId23">
        <w:r w:rsidR="00FA1445" w:rsidRPr="0094375B">
          <w:rPr>
            <w:rFonts w:ascii="Comic Sans Mt" w:eastAsia="Times New Roman" w:hAnsi="Comic Sans Mt" w:cs="Times New Roman"/>
            <w:color w:val="1155CC"/>
            <w:sz w:val="20"/>
            <w:szCs w:val="20"/>
            <w:u w:val="single"/>
          </w:rPr>
          <w:t>http://hukum.unsrat.ac.id/uu/uu_23_97.htm</w:t>
        </w:r>
      </w:hyperlink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,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21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="00FA1445" w:rsidRPr="0094375B">
        <w:rPr>
          <w:rFonts w:ascii="Comic Sans Mt" w:eastAsia="Times New Roman" w:hAnsi="Comic Sans Mt" w:cs="Times New Roman"/>
          <w:sz w:val="20"/>
          <w:szCs w:val="20"/>
        </w:rPr>
        <w:t xml:space="preserve"> 20.30</w:t>
      </w:r>
    </w:p>
    <w:p w14:paraId="00000086" w14:textId="24A8B558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3B2B5885" w14:textId="77777777" w:rsidR="00BE4208" w:rsidRPr="0094375B" w:rsidRDefault="00BE4208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Donny Iqbal </w:t>
      </w:r>
    </w:p>
    <w:p w14:paraId="7741A4F7" w14:textId="66B2F358" w:rsidR="00BE4208" w:rsidRPr="0094375B" w:rsidRDefault="00BE4208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i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Harum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,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Langkah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Optimis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Pulihkan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Kejayaan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(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Bagian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3)</w:t>
      </w:r>
    </w:p>
    <w:p w14:paraId="5168A0E1" w14:textId="3A8C2AF4" w:rsidR="00BE4208" w:rsidRPr="0094375B" w:rsidRDefault="00F345EB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hyperlink r:id="rId24" w:history="1">
        <w:r w:rsidR="00BE4208" w:rsidRPr="0094375B">
          <w:rPr>
            <w:rStyle w:val="Hyperlink"/>
            <w:rFonts w:ascii="Comic Sans Mt" w:eastAsia="Times New Roman" w:hAnsi="Comic Sans Mt" w:cs="Times New Roman"/>
            <w:sz w:val="20"/>
            <w:szCs w:val="20"/>
          </w:rPr>
          <w:t>https://www.mongabay.co.id/byline/donny-iqbal-bandung/</w:t>
        </w:r>
      </w:hyperlink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18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15.07 WIB</w:t>
      </w:r>
    </w:p>
    <w:p w14:paraId="2E589D7F" w14:textId="189ED639" w:rsidR="00BE4208" w:rsidRPr="0094375B" w:rsidRDefault="00BE4208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520CAED0" w14:textId="455B3D5F" w:rsidR="00540946" w:rsidRPr="0094375B" w:rsidRDefault="00540946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Arditya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Pramono</w:t>
      </w:r>
      <w:proofErr w:type="spellEnd"/>
    </w:p>
    <w:p w14:paraId="57C670E4" w14:textId="77777777" w:rsidR="00540946" w:rsidRPr="0094375B" w:rsidRDefault="00540946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i/>
          <w:sz w:val="20"/>
          <w:szCs w:val="20"/>
        </w:rPr>
      </w:pPr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TNI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Bergerak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, Rakyat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Tergerak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Wujudkan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Revolusi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Mental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i/>
          <w:sz w:val="20"/>
          <w:szCs w:val="20"/>
        </w:rPr>
        <w:t>Harum</w:t>
      </w:r>
      <w:proofErr w:type="spellEnd"/>
    </w:p>
    <w:p w14:paraId="208D0E51" w14:textId="6A72A2D0" w:rsidR="00BE4208" w:rsidRPr="0094375B" w:rsidRDefault="00F345EB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hyperlink r:id="rId25" w:history="1">
        <w:r w:rsidR="00540946" w:rsidRPr="0094375B">
          <w:rPr>
            <w:rStyle w:val="Hyperlink"/>
            <w:rFonts w:ascii="Comic Sans Mt" w:eastAsia="Times New Roman" w:hAnsi="Comic Sans Mt" w:cs="Times New Roman"/>
            <w:sz w:val="20"/>
            <w:szCs w:val="20"/>
          </w:rPr>
          <w:t>https://m.ayobandung.com/read/2019/09/29/65250/tni-bergerak-rakyat-tergerak-wujudkan-</w:t>
        </w:r>
        <w:bookmarkStart w:id="0" w:name="_GoBack"/>
        <w:bookmarkEnd w:id="0"/>
        <w:r w:rsidR="00540946" w:rsidRPr="0094375B">
          <w:rPr>
            <w:rStyle w:val="Hyperlink"/>
            <w:rFonts w:ascii="Comic Sans Mt" w:eastAsia="Times New Roman" w:hAnsi="Comic Sans Mt" w:cs="Times New Roman"/>
            <w:sz w:val="20"/>
            <w:szCs w:val="20"/>
          </w:rPr>
          <w:t>revolusi-mental-citarum-harum</w:t>
        </w:r>
      </w:hyperlink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diakses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pada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tanggal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15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Maret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2020 </w:t>
      </w:r>
      <w:proofErr w:type="spellStart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>pukul</w:t>
      </w:r>
      <w:proofErr w:type="spellEnd"/>
      <w:r w:rsidR="00BE4208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r w:rsidR="00540946" w:rsidRPr="0094375B">
        <w:rPr>
          <w:rFonts w:ascii="Comic Sans Mt" w:eastAsia="Times New Roman" w:hAnsi="Comic Sans Mt" w:cs="Times New Roman"/>
          <w:sz w:val="20"/>
          <w:szCs w:val="20"/>
        </w:rPr>
        <w:t>14.30 WIB</w:t>
      </w:r>
    </w:p>
    <w:p w14:paraId="3845998E" w14:textId="77777777" w:rsidR="00BE4208" w:rsidRPr="0094375B" w:rsidRDefault="00BE4208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87" w14:textId="77777777" w:rsidR="00666EAE" w:rsidRPr="0094375B" w:rsidRDefault="00FA1445" w:rsidP="0094375B">
      <w:pPr>
        <w:numPr>
          <w:ilvl w:val="0"/>
          <w:numId w:val="6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Undang-Undang</w:t>
      </w:r>
      <w:proofErr w:type="spellEnd"/>
    </w:p>
    <w:p w14:paraId="589A436E" w14:textId="77777777" w:rsidR="006B6347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Indonesia. 1997.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23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1997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Pengelolaan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Lingkungan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Hidup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Lembaran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Negara 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1997, No. 68.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Sekretariat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Negara. Jakarta.</w:t>
      </w:r>
      <w:r w:rsidR="006B6347"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</w:p>
    <w:p w14:paraId="0000008B" w14:textId="5F79A420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Indonesia. 2004.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Undang-Undang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34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2004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Tentara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Nasional Indonesia.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Lembaran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Negara 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2004, No. 127.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</w:rPr>
        <w:t>Sekretariat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</w:rPr>
        <w:t xml:space="preserve"> Negara. Jakarta.</w:t>
      </w:r>
    </w:p>
    <w:p w14:paraId="0000008C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8D" w14:textId="77777777" w:rsidR="00666EAE" w:rsidRPr="0094375B" w:rsidRDefault="00FA1445" w:rsidP="0094375B">
      <w:pPr>
        <w:numPr>
          <w:ilvl w:val="0"/>
          <w:numId w:val="6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</w:rPr>
        <w:t>Presiden</w:t>
      </w:r>
      <w:proofErr w:type="spellEnd"/>
    </w:p>
    <w:p w14:paraId="0000008E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Pemerintah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Indonesia. 2018.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15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Percepatan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DAS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Lembaran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 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2018, No. 30.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Presiden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Indonesia. Jakarta</w:t>
      </w:r>
    </w:p>
    <w:p w14:paraId="0000008F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</w:p>
    <w:p w14:paraId="00000090" w14:textId="77777777" w:rsidR="00666EAE" w:rsidRPr="0094375B" w:rsidRDefault="00FA1445" w:rsidP="0094375B">
      <w:pPr>
        <w:numPr>
          <w:ilvl w:val="0"/>
          <w:numId w:val="6"/>
        </w:numPr>
        <w:spacing w:line="269" w:lineRule="auto"/>
        <w:ind w:left="-113"/>
        <w:jc w:val="both"/>
        <w:rPr>
          <w:rFonts w:ascii="Comic Sans Mt" w:eastAsia="Times New Roman" w:hAnsi="Comic Sans Mt" w:cs="Times New Roman"/>
          <w:b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b/>
          <w:sz w:val="20"/>
          <w:szCs w:val="20"/>
          <w:highlight w:val="white"/>
        </w:rPr>
        <w:t xml:space="preserve"> Menteri</w:t>
      </w:r>
    </w:p>
    <w:p w14:paraId="00000091" w14:textId="77777777" w:rsidR="00666EAE" w:rsidRPr="0094375B" w:rsidRDefault="00FA1445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  <w:highlight w:val="white"/>
        </w:rPr>
      </w:pP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Peraturan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Menteri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Koordinator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Kemaritiman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Nomor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tentang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Tata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Kerja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Pengarah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Satuan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Tugas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Tim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Pengendalian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Pencemaran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Dan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Kerusakan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Daerah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Aliran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Sungai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Citarum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.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Berita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Negara 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Tahun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2018, No. 1090. Menteri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Koordinator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Bidang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Kemaritiman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</w:t>
      </w:r>
      <w:proofErr w:type="spellStart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>Republik</w:t>
      </w:r>
      <w:proofErr w:type="spellEnd"/>
      <w:r w:rsidRPr="0094375B">
        <w:rPr>
          <w:rFonts w:ascii="Comic Sans Mt" w:eastAsia="Times New Roman" w:hAnsi="Comic Sans Mt" w:cs="Times New Roman"/>
          <w:sz w:val="20"/>
          <w:szCs w:val="20"/>
          <w:highlight w:val="white"/>
        </w:rPr>
        <w:t xml:space="preserve"> Indonesia. Jakarta.</w:t>
      </w:r>
    </w:p>
    <w:p w14:paraId="00000092" w14:textId="77777777" w:rsidR="00666EAE" w:rsidRPr="0094375B" w:rsidRDefault="00666EAE" w:rsidP="0094375B">
      <w:pPr>
        <w:spacing w:line="269" w:lineRule="auto"/>
        <w:ind w:left="-113"/>
        <w:jc w:val="both"/>
        <w:rPr>
          <w:rFonts w:ascii="Comic Sans Mt" w:eastAsia="Times New Roman" w:hAnsi="Comic Sans Mt" w:cs="Times New Roman"/>
          <w:sz w:val="20"/>
          <w:szCs w:val="20"/>
        </w:rPr>
      </w:pPr>
    </w:p>
    <w:p w14:paraId="00000093" w14:textId="77777777" w:rsidR="00666EAE" w:rsidRPr="0094375B" w:rsidRDefault="00666EAE" w:rsidP="0094375B">
      <w:pPr>
        <w:spacing w:line="269" w:lineRule="auto"/>
        <w:ind w:left="-113"/>
        <w:rPr>
          <w:rFonts w:ascii="Comic Sans Mt" w:hAnsi="Comic Sans Mt"/>
          <w:sz w:val="20"/>
          <w:szCs w:val="20"/>
        </w:rPr>
      </w:pPr>
    </w:p>
    <w:sectPr w:rsidR="00666EAE" w:rsidRPr="0094375B" w:rsidSect="006B6347">
      <w:type w:val="continuous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AC3C" w14:textId="77777777" w:rsidR="00F345EB" w:rsidRDefault="00F345EB">
      <w:pPr>
        <w:spacing w:line="240" w:lineRule="auto"/>
      </w:pPr>
      <w:r>
        <w:separator/>
      </w:r>
    </w:p>
  </w:endnote>
  <w:endnote w:type="continuationSeparator" w:id="0">
    <w:p w14:paraId="25315633" w14:textId="77777777" w:rsidR="00F345EB" w:rsidRDefault="00F34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B7C25" w14:textId="77777777" w:rsidR="00F345EB" w:rsidRDefault="00F345EB">
      <w:pPr>
        <w:spacing w:line="240" w:lineRule="auto"/>
      </w:pPr>
      <w:r>
        <w:separator/>
      </w:r>
    </w:p>
  </w:footnote>
  <w:footnote w:type="continuationSeparator" w:id="0">
    <w:p w14:paraId="2B3D2142" w14:textId="77777777" w:rsidR="00F345EB" w:rsidRDefault="00F345EB">
      <w:pPr>
        <w:spacing w:line="240" w:lineRule="auto"/>
      </w:pPr>
      <w:r>
        <w:continuationSeparator/>
      </w:r>
    </w:p>
  </w:footnote>
  <w:footnote w:id="1">
    <w:p w14:paraId="000000A2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https://www.goodnewsfromindonesia.id/2020/02/21/jumlah-pulau-di-indonesia-bertambah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15.20</w:t>
      </w:r>
    </w:p>
  </w:footnote>
  <w:footnote w:id="2">
    <w:p w14:paraId="00000094" w14:textId="77777777" w:rsidR="00666EAE" w:rsidRDefault="00FA144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http://bbwscitarum.com/2014/11/28/profil/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16.21</w:t>
      </w:r>
    </w:p>
  </w:footnote>
  <w:footnote w:id="3">
    <w:p w14:paraId="00000095" w14:textId="77777777" w:rsidR="00666EAE" w:rsidRDefault="00FA144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hyperlink r:id="rId3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http://www.ampl.or.id/digilib/read/limbah-mengalir-sampai-jauh/35026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17.21</w:t>
      </w:r>
    </w:p>
  </w:footnote>
  <w:footnote w:id="4">
    <w:p w14:paraId="00000096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http://citarum.bappenas.go.id/tentang-kami/sekilas-citarum/kondisi-fisik-dan-spasial.html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17.51</w:t>
      </w:r>
    </w:p>
  </w:footnote>
  <w:footnote w:id="5">
    <w:p w14:paraId="00000097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Rio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Tuasikal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,”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Upaya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Bersihkan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Sungai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Terkotor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 Dunia (1)”,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https://www.voaindonesia.com/a/upaya-indonesia-bersihkan-sungai-terkotor-di-dunia-(1)/4745640.html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19.03</w:t>
      </w:r>
    </w:p>
    <w:p w14:paraId="00000098" w14:textId="77777777" w:rsidR="00666EAE" w:rsidRDefault="00666EAE">
      <w:pPr>
        <w:spacing w:line="240" w:lineRule="auto"/>
        <w:rPr>
          <w:sz w:val="20"/>
          <w:szCs w:val="20"/>
        </w:rPr>
      </w:pPr>
    </w:p>
  </w:footnote>
  <w:footnote w:id="6">
    <w:p w14:paraId="0000009B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https://www.mongabay.co.id/2018/02/28/citarum-harum-langkah-optimis-pemerintah-pulihkan-kejayaan-sungai-citarum-bagian-3/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</w:rPr>
          <w:t>,   pada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15.00 </w:t>
      </w:r>
    </w:p>
    <w:p w14:paraId="0000009C" w14:textId="77777777" w:rsidR="00666EAE" w:rsidRDefault="00666EAE">
      <w:pPr>
        <w:spacing w:line="240" w:lineRule="auto"/>
        <w:rPr>
          <w:sz w:val="20"/>
          <w:szCs w:val="20"/>
        </w:rPr>
      </w:pPr>
    </w:p>
  </w:footnote>
  <w:footnote w:id="7">
    <w:p w14:paraId="0000009D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https://www.beritasatu.com/nasional/511325/nasional/511325-jawa-barat-siapkan-strategi-normalisasi-sungai-citarum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,Pada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16.00</w:t>
      </w:r>
    </w:p>
    <w:p w14:paraId="0000009E" w14:textId="77777777" w:rsidR="00666EAE" w:rsidRDefault="00666EAE">
      <w:pPr>
        <w:spacing w:line="240" w:lineRule="auto"/>
        <w:rPr>
          <w:sz w:val="20"/>
          <w:szCs w:val="20"/>
        </w:rPr>
      </w:pPr>
    </w:p>
  </w:footnote>
  <w:footnote w:id="8">
    <w:p w14:paraId="0000009F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https://www.pikiran-rakyat.com/bandung-raya/pr-01314207/respons-bantuan-bank-dunia-bandung-siapkan-16-lahan-untuk-dukung-citarum-harum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17.00</w:t>
      </w:r>
    </w:p>
    <w:p w14:paraId="000000A0" w14:textId="77777777" w:rsidR="00666EAE" w:rsidRDefault="00666EAE">
      <w:pPr>
        <w:spacing w:line="240" w:lineRule="auto"/>
        <w:rPr>
          <w:sz w:val="20"/>
          <w:szCs w:val="20"/>
        </w:rPr>
      </w:pPr>
    </w:p>
  </w:footnote>
  <w:footnote w:id="9">
    <w:p w14:paraId="000000A4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vertAlign w:val="superscript"/>
        </w:rPr>
        <w:footnoteRef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Republik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Nomor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34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2004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Tentang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Tentara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Nasional Indonesia.</w:t>
      </w:r>
    </w:p>
  </w:footnote>
  <w:footnote w:id="10">
    <w:p w14:paraId="000000A1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Ibid.</w:t>
      </w:r>
    </w:p>
  </w:footnote>
  <w:footnote w:id="11">
    <w:p w14:paraId="000000A5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Republik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Nomor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1997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Tentang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Hidup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12">
    <w:p w14:paraId="000000A3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http://hukum.unsrat.ac.id/uu/uu_23_97.htm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20.30</w:t>
      </w:r>
    </w:p>
  </w:footnote>
  <w:footnote w:id="13">
    <w:p w14:paraId="00000099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Peraturan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Presiden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Nomor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Percepatan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Pengendalian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Pencemaran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Kerusakan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Citarum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</w:footnote>
  <w:footnote w:id="14">
    <w:p w14:paraId="0000009A" w14:textId="77777777" w:rsidR="00666EAE" w:rsidRDefault="00FA14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http://ditjenpp.kemenkumham.go.id/arsip/bn/2018/bn1090-2018.pdf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13.20</w:t>
      </w:r>
    </w:p>
  </w:footnote>
  <w:footnote w:id="15">
    <w:p w14:paraId="7C75944F" w14:textId="23753CCD" w:rsidR="00BE4208" w:rsidRPr="00BE4208" w:rsidRDefault="00BE420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E4208">
        <w:t>https://m.ayobandung.com/read/2019/09/29/65250/tni-bergerak-rakyat-tergerak-wujudkan-revolusi-mental-citarum-harum</w:t>
      </w:r>
    </w:p>
  </w:footnote>
  <w:footnote w:id="16">
    <w:p w14:paraId="0AA425EC" w14:textId="05419B48" w:rsidR="00BE4208" w:rsidRPr="00BE4208" w:rsidRDefault="00BE420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E4208">
        <w:t>https://www.mongabay.co.id/2018/02/28/citarum-harum-langkah-optimis-pemerintah-pulihkan-kejayaan-sungai-citarum-bagian-3/</w:t>
      </w:r>
    </w:p>
  </w:footnote>
  <w:footnote w:id="17">
    <w:p w14:paraId="7C082367" w14:textId="14D3213D" w:rsidR="00BE4208" w:rsidRPr="00BE4208" w:rsidRDefault="00BE420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E4208">
        <w:t>https://news.detik.com/foto-news/d-4432697/ini-penampakan-citarum-harum-yang-dibanggakan-jokowi/3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6" w14:textId="77777777" w:rsidR="00666EAE" w:rsidRDefault="00666EAE"/>
  <w:p w14:paraId="000000A7" w14:textId="77777777" w:rsidR="00666EAE" w:rsidRDefault="00666E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00F7"/>
    <w:multiLevelType w:val="multilevel"/>
    <w:tmpl w:val="712AC1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6720C6"/>
    <w:multiLevelType w:val="multilevel"/>
    <w:tmpl w:val="19E263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DA4581"/>
    <w:multiLevelType w:val="multilevel"/>
    <w:tmpl w:val="3CA02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DD73B8"/>
    <w:multiLevelType w:val="multilevel"/>
    <w:tmpl w:val="4A4477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236691"/>
    <w:multiLevelType w:val="multilevel"/>
    <w:tmpl w:val="12BC3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026D9B"/>
    <w:multiLevelType w:val="multilevel"/>
    <w:tmpl w:val="67CEDA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883C9D"/>
    <w:multiLevelType w:val="multilevel"/>
    <w:tmpl w:val="32E4D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450065"/>
    <w:multiLevelType w:val="multilevel"/>
    <w:tmpl w:val="C7EC37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183904"/>
    <w:multiLevelType w:val="multilevel"/>
    <w:tmpl w:val="032AE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B23526"/>
    <w:multiLevelType w:val="multilevel"/>
    <w:tmpl w:val="81D68C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AE"/>
    <w:rsid w:val="00540946"/>
    <w:rsid w:val="00592413"/>
    <w:rsid w:val="005B3E07"/>
    <w:rsid w:val="00664D9A"/>
    <w:rsid w:val="00666EAE"/>
    <w:rsid w:val="006B6347"/>
    <w:rsid w:val="007079B5"/>
    <w:rsid w:val="0094375B"/>
    <w:rsid w:val="00BE4208"/>
    <w:rsid w:val="00F345EB"/>
    <w:rsid w:val="00F4449D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A021"/>
  <w15:docId w15:val="{F0214175-BF93-604B-A708-92D68BDC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E42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208"/>
  </w:style>
  <w:style w:type="paragraph" w:styleId="Footer">
    <w:name w:val="footer"/>
    <w:basedOn w:val="Normal"/>
    <w:link w:val="FooterChar"/>
    <w:uiPriority w:val="99"/>
    <w:unhideWhenUsed/>
    <w:rsid w:val="00BE42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208"/>
  </w:style>
  <w:style w:type="paragraph" w:styleId="FootnoteText">
    <w:name w:val="footnote text"/>
    <w:basedOn w:val="Normal"/>
    <w:link w:val="FootnoteTextChar"/>
    <w:uiPriority w:val="99"/>
    <w:semiHidden/>
    <w:unhideWhenUsed/>
    <w:rsid w:val="00BE420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2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2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42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zapratama11@gmail.com" TargetMode="External"/><Relationship Id="rId13" Type="http://schemas.openxmlformats.org/officeDocument/2006/relationships/hyperlink" Target="http://citarum.bappenas.go.id/tentang-kami/sekilas-citarum/kondisi-fisik-dan-spasial.html" TargetMode="External"/><Relationship Id="rId18" Type="http://schemas.openxmlformats.org/officeDocument/2006/relationships/hyperlink" Target="https://www.mongabay.co.id/2018/02/28/citarum-harum-langkah-optimis-pemerintah-pulihkan-kejayaan-sungai-citarum-bagian-3/,%20%20%20pad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odnewsfromindonesia.id/2020/02/21/jumlah-pulau-di-indonesia-bertamba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d.wikipedia.org/wiki/Tentara_Keamanan_Rakyat" TargetMode="External"/><Relationship Id="rId17" Type="http://schemas.openxmlformats.org/officeDocument/2006/relationships/hyperlink" Target="https://www.mongabay.co.id/2018/02/28/citarum-harum-langkah-optimis-pemerintah-pulihkan-kejayaan-sungai-citarum-bagian-3/,%20%20%20pada" TargetMode="External"/><Relationship Id="rId25" Type="http://schemas.openxmlformats.org/officeDocument/2006/relationships/hyperlink" Target="https://m.ayobandung.com/read/2019/09/29/65250/tni-bergerak-rakyat-tergerak-wujudkan-revolusi-mental-citarum-har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pl.or.id/digilib/read/limbah-mengalir-sampai-jauh/35026" TargetMode="External"/><Relationship Id="rId20" Type="http://schemas.openxmlformats.org/officeDocument/2006/relationships/hyperlink" Target="https://www.voaindonesia.com/a/upaya-indonesia-bersihkan-sungai-terkotor-di-dunia-(1)/474564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.wikipedia.org/wiki/Indonesia" TargetMode="External"/><Relationship Id="rId24" Type="http://schemas.openxmlformats.org/officeDocument/2006/relationships/hyperlink" Target="https://www.mongabay.co.id/byline/donny-iqbal-bandu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tjenpp.kemenkumham.go.id/arsip/bn/2018/bn1090-2018.pdf" TargetMode="External"/><Relationship Id="rId23" Type="http://schemas.openxmlformats.org/officeDocument/2006/relationships/hyperlink" Target="http://hukum.unsrat.ac.id/uu/uu_23_97.htm" TargetMode="External"/><Relationship Id="rId10" Type="http://schemas.openxmlformats.org/officeDocument/2006/relationships/hyperlink" Target="https://id.wikipedia.org/wiki/Angkatan_perang" TargetMode="External"/><Relationship Id="rId19" Type="http://schemas.openxmlformats.org/officeDocument/2006/relationships/hyperlink" Target="https://www.pikiran-rakyat.com/bandung-raya/pr-01314207/respons-bantuan-bank-dunia-bandung-siapkan-16-lahan-untuk-dukung-citarum-haru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bbwscitarum.com/2014/11/28/profil/" TargetMode="External"/><Relationship Id="rId22" Type="http://schemas.openxmlformats.org/officeDocument/2006/relationships/hyperlink" Target="https://www.beritasatu.com/nasional/511325/nasional/511325-jawa-barat-siapkan-strategi-normalisasi-sungai-citarum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itasatu.com/nasional/511325/nasional/511325-jawa-barat-siapkan-strategi-normalisasi-sungai-citarum" TargetMode="External"/><Relationship Id="rId3" Type="http://schemas.openxmlformats.org/officeDocument/2006/relationships/hyperlink" Target="http://www.ampl.or.id/digilib/read/limbah-mengalir-sampai-jauh/35026" TargetMode="External"/><Relationship Id="rId7" Type="http://schemas.openxmlformats.org/officeDocument/2006/relationships/hyperlink" Target="https://www.mongabay.co.id/2018/02/28/citarum-harum-langkah-optimis-pemerintah-pulihkan-kejayaan-sungai-citarum-bagian-3/,%20%20%20pada" TargetMode="External"/><Relationship Id="rId2" Type="http://schemas.openxmlformats.org/officeDocument/2006/relationships/hyperlink" Target="http://bbwscitarum.com/2014/11/28/profil/" TargetMode="External"/><Relationship Id="rId1" Type="http://schemas.openxmlformats.org/officeDocument/2006/relationships/hyperlink" Target="https://www.goodnewsfromindonesia.id/2020/02/21/jumlah-pulau-di-indonesia-bertambah" TargetMode="External"/><Relationship Id="rId6" Type="http://schemas.openxmlformats.org/officeDocument/2006/relationships/hyperlink" Target="https://www.mongabay.co.id/2018/02/28/citarum-harum-langkah-optimis-pemerintah-pulihkan-kejayaan-sungai-citarum-bagian-3/,%20%20%20pada" TargetMode="External"/><Relationship Id="rId11" Type="http://schemas.openxmlformats.org/officeDocument/2006/relationships/hyperlink" Target="http://ditjenpp.kemenkumham.go.id/arsip/bn/2018/bn1090-2018.pdf" TargetMode="External"/><Relationship Id="rId5" Type="http://schemas.openxmlformats.org/officeDocument/2006/relationships/hyperlink" Target="https://www.voaindonesia.com/a/upaya-indonesia-bersihkan-sungai-terkotor-di-dunia-(1)/4745640.html" TargetMode="External"/><Relationship Id="rId10" Type="http://schemas.openxmlformats.org/officeDocument/2006/relationships/hyperlink" Target="http://hukum.unsrat.ac.id/uu/uu_23_97.htm" TargetMode="External"/><Relationship Id="rId4" Type="http://schemas.openxmlformats.org/officeDocument/2006/relationships/hyperlink" Target="http://citarum.bappenas.go.id/tentang-kami/sekilas-citarum/kondisi-fisik-dan-spasial.html" TargetMode="External"/><Relationship Id="rId9" Type="http://schemas.openxmlformats.org/officeDocument/2006/relationships/hyperlink" Target="https://www.pikiran-rakyat.com/bandung-raya/pr-01314207/respons-bantuan-bank-dunia-bandung-siapkan-16-lahan-untuk-dukung-citarum-h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438CD8-E71E-466D-BC32-74C422B1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2020-04-08T13:46:00Z</dcterms:created>
  <dcterms:modified xsi:type="dcterms:W3CDTF">2020-04-08T13:46:00Z</dcterms:modified>
</cp:coreProperties>
</file>